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BD845" w14:textId="77777777" w:rsidR="004E6C38" w:rsidRPr="004E6C38" w:rsidRDefault="004E6C38" w:rsidP="004E6C38">
      <w:pPr>
        <w:spacing w:after="160" w:line="259" w:lineRule="auto"/>
        <w:jc w:val="both"/>
        <w:rPr>
          <w:rFonts w:ascii="Times New Roman" w:eastAsiaTheme="minorHAnsi" w:hAnsi="Times New Roman"/>
          <w:sz w:val="24"/>
          <w:szCs w:val="22"/>
          <w:lang w:eastAsia="en-US"/>
        </w:rPr>
      </w:pPr>
      <w:bookmarkStart w:id="0" w:name="_Toc45873719"/>
      <w:bookmarkStart w:id="1" w:name="_Toc420332614"/>
    </w:p>
    <w:p w14:paraId="4F44A7DB" w14:textId="743DD1EF" w:rsidR="004E6C38" w:rsidRDefault="004E6C38" w:rsidP="004E6C38">
      <w:pPr>
        <w:spacing w:after="160" w:line="259" w:lineRule="auto"/>
        <w:jc w:val="both"/>
        <w:rPr>
          <w:rFonts w:ascii="Times New Roman" w:eastAsiaTheme="minorHAnsi" w:hAnsi="Times New Roman"/>
          <w:sz w:val="24"/>
          <w:szCs w:val="22"/>
          <w:lang w:eastAsia="en-US"/>
        </w:rPr>
      </w:pPr>
    </w:p>
    <w:p w14:paraId="02ABC081" w14:textId="491700E8" w:rsidR="004E6C38" w:rsidRDefault="004E6C38" w:rsidP="004E6C38">
      <w:pPr>
        <w:spacing w:after="160" w:line="259" w:lineRule="auto"/>
        <w:jc w:val="both"/>
        <w:rPr>
          <w:rFonts w:ascii="Times New Roman" w:eastAsiaTheme="minorHAnsi" w:hAnsi="Times New Roman"/>
          <w:sz w:val="24"/>
          <w:szCs w:val="22"/>
          <w:lang w:eastAsia="en-US"/>
        </w:rPr>
      </w:pPr>
    </w:p>
    <w:p w14:paraId="128A9030" w14:textId="6E02EA60" w:rsidR="004E6C38" w:rsidRDefault="004E6C38" w:rsidP="004E6C38">
      <w:pPr>
        <w:spacing w:after="160" w:line="259" w:lineRule="auto"/>
        <w:jc w:val="both"/>
        <w:rPr>
          <w:rFonts w:ascii="Times New Roman" w:eastAsiaTheme="minorHAnsi" w:hAnsi="Times New Roman"/>
          <w:sz w:val="24"/>
          <w:szCs w:val="22"/>
          <w:lang w:eastAsia="en-US"/>
        </w:rPr>
      </w:pPr>
    </w:p>
    <w:p w14:paraId="00E6678E" w14:textId="77777777" w:rsidR="00A635F6" w:rsidRDefault="00A635F6" w:rsidP="004E6C38">
      <w:pPr>
        <w:spacing w:after="160" w:line="259" w:lineRule="auto"/>
        <w:jc w:val="both"/>
        <w:rPr>
          <w:rFonts w:ascii="Times New Roman" w:eastAsiaTheme="minorHAnsi" w:hAnsi="Times New Roman"/>
          <w:sz w:val="24"/>
          <w:szCs w:val="22"/>
          <w:lang w:eastAsia="en-US"/>
        </w:rPr>
      </w:pPr>
    </w:p>
    <w:p w14:paraId="0B5CD835" w14:textId="77777777" w:rsidR="00D4390C" w:rsidRDefault="00D4390C" w:rsidP="004E6C38">
      <w:pPr>
        <w:spacing w:after="160" w:line="259" w:lineRule="auto"/>
        <w:jc w:val="both"/>
        <w:rPr>
          <w:rFonts w:ascii="Times New Roman" w:eastAsiaTheme="minorHAnsi" w:hAnsi="Times New Roman"/>
          <w:sz w:val="24"/>
          <w:szCs w:val="22"/>
          <w:lang w:eastAsia="en-US"/>
        </w:rPr>
      </w:pPr>
    </w:p>
    <w:p w14:paraId="48AEA890" w14:textId="77777777" w:rsidR="004E6C38" w:rsidRPr="004E6C38" w:rsidRDefault="004E6C38" w:rsidP="004E6C38">
      <w:pPr>
        <w:spacing w:after="160" w:line="259" w:lineRule="auto"/>
        <w:rPr>
          <w:rFonts w:ascii="Times New Roman" w:eastAsiaTheme="minorHAnsi" w:hAnsi="Times New Roman"/>
          <w:sz w:val="24"/>
          <w:szCs w:val="22"/>
          <w:lang w:eastAsia="en-US"/>
        </w:rPr>
      </w:pPr>
    </w:p>
    <w:p w14:paraId="6F85654A" w14:textId="77777777" w:rsidR="004E6C38" w:rsidRPr="004E6C38" w:rsidRDefault="004E6C38" w:rsidP="004E6C38">
      <w:pPr>
        <w:spacing w:after="160" w:line="259" w:lineRule="auto"/>
        <w:rPr>
          <w:rFonts w:ascii="Times New Roman" w:eastAsiaTheme="minorHAnsi" w:hAnsi="Times New Roman"/>
          <w:sz w:val="24"/>
          <w:szCs w:val="22"/>
          <w:lang w:eastAsia="en-US"/>
        </w:rPr>
      </w:pPr>
    </w:p>
    <w:p w14:paraId="6B8BC4F0" w14:textId="614F28E3" w:rsidR="004E6C38" w:rsidRPr="00474305" w:rsidRDefault="004E6C38" w:rsidP="004E6C38">
      <w:pPr>
        <w:spacing w:after="160" w:line="259" w:lineRule="auto"/>
        <w:jc w:val="center"/>
        <w:rPr>
          <w:rFonts w:ascii="Times New Roman" w:eastAsiaTheme="majorEastAsia" w:hAnsi="Times New Roman"/>
          <w:b/>
          <w:color w:val="0070C0"/>
          <w:sz w:val="32"/>
          <w:szCs w:val="32"/>
          <w:lang w:eastAsia="en-US"/>
        </w:rPr>
      </w:pPr>
      <w:r w:rsidRPr="004E6C38">
        <w:rPr>
          <w:rFonts w:ascii="Times New Roman" w:eastAsiaTheme="minorHAnsi" w:hAnsi="Times New Roman"/>
          <w:b/>
          <w:bCs/>
          <w:sz w:val="40"/>
          <w:szCs w:val="40"/>
          <w:lang w:eastAsia="en-US"/>
        </w:rPr>
        <w:br/>
      </w:r>
      <w:r w:rsidR="00E364D9" w:rsidRPr="00474305">
        <w:rPr>
          <w:rFonts w:ascii="Times New Roman" w:eastAsiaTheme="majorEastAsia" w:hAnsi="Times New Roman"/>
          <w:b/>
          <w:color w:val="0070C0"/>
          <w:sz w:val="32"/>
          <w:szCs w:val="32"/>
          <w:lang w:eastAsia="en-US"/>
        </w:rPr>
        <w:t>USMERNENIE K RIADENIU RIZÍK PODVODOV</w:t>
      </w:r>
    </w:p>
    <w:p w14:paraId="6C0F0B2B" w14:textId="77777777" w:rsidR="004E6C38" w:rsidRPr="00474305" w:rsidRDefault="004E6C38" w:rsidP="004E6C38">
      <w:pPr>
        <w:spacing w:after="160" w:line="259" w:lineRule="auto"/>
        <w:jc w:val="center"/>
        <w:rPr>
          <w:rFonts w:ascii="Times New Roman" w:eastAsiaTheme="majorEastAsia" w:hAnsi="Times New Roman"/>
          <w:b/>
          <w:color w:val="0070C0"/>
          <w:sz w:val="22"/>
          <w:szCs w:val="22"/>
          <w:lang w:eastAsia="en-US"/>
        </w:rPr>
      </w:pPr>
      <w:r w:rsidRPr="00474305">
        <w:rPr>
          <w:rFonts w:ascii="Times New Roman" w:eastAsiaTheme="majorEastAsia" w:hAnsi="Times New Roman"/>
          <w:b/>
          <w:color w:val="0070C0"/>
          <w:sz w:val="22"/>
          <w:szCs w:val="22"/>
          <w:lang w:eastAsia="en-US"/>
        </w:rPr>
        <w:t xml:space="preserve">PROGRAMOV FONDOV PRE OBLASŤ VNÚTORNÝCH ZÁLEŽITOSTÍ </w:t>
      </w:r>
    </w:p>
    <w:p w14:paraId="182C64B0" w14:textId="6E9994BA" w:rsidR="004E6C38" w:rsidRPr="00474305" w:rsidRDefault="00474305" w:rsidP="004E6C38">
      <w:pPr>
        <w:spacing w:after="160" w:line="259" w:lineRule="auto"/>
        <w:jc w:val="center"/>
        <w:rPr>
          <w:rFonts w:ascii="Times New Roman" w:eastAsiaTheme="majorEastAsia" w:hAnsi="Times New Roman"/>
          <w:sz w:val="24"/>
          <w:szCs w:val="24"/>
          <w:lang w:eastAsia="en-US"/>
        </w:rPr>
      </w:pPr>
      <w:r w:rsidRPr="00474305">
        <w:rPr>
          <w:rFonts w:ascii="Times New Roman" w:eastAsiaTheme="majorEastAsia" w:hAnsi="Times New Roman"/>
          <w:sz w:val="24"/>
          <w:szCs w:val="24"/>
          <w:lang w:eastAsia="en-US"/>
        </w:rPr>
        <w:t>Programové obdobie</w:t>
      </w:r>
      <w:r w:rsidR="004E6C38" w:rsidRPr="00474305">
        <w:rPr>
          <w:rFonts w:ascii="Times New Roman" w:eastAsiaTheme="majorEastAsia" w:hAnsi="Times New Roman"/>
          <w:sz w:val="24"/>
          <w:szCs w:val="24"/>
          <w:lang w:eastAsia="en-US"/>
        </w:rPr>
        <w:t xml:space="preserve"> 2021-2027</w:t>
      </w:r>
    </w:p>
    <w:p w14:paraId="7A1F7559" w14:textId="77777777" w:rsidR="004E6C38" w:rsidRPr="004E6C38" w:rsidRDefault="004E6C38" w:rsidP="004E6C38">
      <w:pPr>
        <w:spacing w:after="160" w:line="259" w:lineRule="auto"/>
        <w:rPr>
          <w:rFonts w:ascii="Times New Roman" w:eastAsiaTheme="minorHAnsi" w:hAnsi="Times New Roman"/>
          <w:b/>
          <w:bCs/>
          <w:sz w:val="36"/>
          <w:szCs w:val="32"/>
          <w:lang w:eastAsia="en-US"/>
        </w:rPr>
      </w:pPr>
    </w:p>
    <w:p w14:paraId="23E5C721" w14:textId="77777777" w:rsidR="004E6C38" w:rsidRPr="004E6C38" w:rsidRDefault="004E6C38" w:rsidP="004E6C38">
      <w:pPr>
        <w:spacing w:after="160" w:line="259" w:lineRule="auto"/>
        <w:jc w:val="center"/>
        <w:rPr>
          <w:rFonts w:ascii="Times New Roman" w:eastAsiaTheme="minorHAnsi" w:hAnsi="Times New Roman"/>
          <w:sz w:val="24"/>
          <w:szCs w:val="24"/>
          <w:lang w:eastAsia="en-US"/>
        </w:rPr>
      </w:pPr>
      <w:r w:rsidRPr="004E6C38">
        <w:rPr>
          <w:rFonts w:ascii="Times New Roman" w:eastAsiaTheme="minorHAnsi" w:hAnsi="Times New Roman"/>
          <w:sz w:val="24"/>
          <w:szCs w:val="24"/>
          <w:lang w:eastAsia="en-US"/>
        </w:rPr>
        <w:t>Fond pre azyl, migráciu a integráciu (AMIF)</w:t>
      </w:r>
    </w:p>
    <w:p w14:paraId="4114F0C4" w14:textId="77777777" w:rsidR="004E6C38" w:rsidRPr="004E6C38" w:rsidRDefault="004E6C38" w:rsidP="004E6C38">
      <w:pPr>
        <w:spacing w:after="160" w:line="259" w:lineRule="auto"/>
        <w:jc w:val="center"/>
        <w:rPr>
          <w:rFonts w:ascii="Times New Roman" w:eastAsiaTheme="minorHAnsi" w:hAnsi="Times New Roman"/>
          <w:sz w:val="24"/>
          <w:szCs w:val="24"/>
          <w:lang w:eastAsia="en-US"/>
        </w:rPr>
      </w:pPr>
      <w:r w:rsidRPr="004E6C38">
        <w:rPr>
          <w:rFonts w:ascii="Times New Roman" w:eastAsiaTheme="minorHAnsi" w:hAnsi="Times New Roman"/>
          <w:sz w:val="24"/>
          <w:szCs w:val="24"/>
          <w:lang w:eastAsia="en-US"/>
        </w:rPr>
        <w:t>Fond pre vnútornú bezpečnosť (ISF)</w:t>
      </w:r>
    </w:p>
    <w:p w14:paraId="5B655662" w14:textId="77777777" w:rsidR="004E6C38" w:rsidRPr="004E6C38" w:rsidRDefault="004E6C38" w:rsidP="004E6C38">
      <w:pPr>
        <w:spacing w:after="160" w:line="259" w:lineRule="auto"/>
        <w:jc w:val="center"/>
        <w:rPr>
          <w:rFonts w:ascii="Times New Roman" w:eastAsiaTheme="minorHAnsi" w:hAnsi="Times New Roman"/>
          <w:sz w:val="24"/>
          <w:szCs w:val="24"/>
          <w:lang w:eastAsia="en-US"/>
        </w:rPr>
      </w:pPr>
      <w:r w:rsidRPr="004E6C38">
        <w:rPr>
          <w:rFonts w:ascii="Times New Roman" w:eastAsiaTheme="minorHAnsi" w:hAnsi="Times New Roman"/>
          <w:sz w:val="24"/>
          <w:szCs w:val="24"/>
          <w:lang w:eastAsia="en-US"/>
        </w:rPr>
        <w:t>Nástroj finančnej podpory na riadenie hraníc a vízovú politiku (BMVI)</w:t>
      </w:r>
    </w:p>
    <w:p w14:paraId="59AFDCDE" w14:textId="77777777" w:rsidR="004E6C38" w:rsidRPr="004E6C38" w:rsidRDefault="004E6C38" w:rsidP="004E6C38">
      <w:pPr>
        <w:spacing w:after="160" w:line="259" w:lineRule="auto"/>
        <w:jc w:val="center"/>
        <w:rPr>
          <w:rFonts w:ascii="Times New Roman" w:eastAsiaTheme="minorHAnsi" w:hAnsi="Times New Roman"/>
          <w:sz w:val="24"/>
          <w:szCs w:val="24"/>
          <w:lang w:eastAsia="en-US"/>
        </w:rPr>
      </w:pPr>
    </w:p>
    <w:p w14:paraId="4AB926BC" w14:textId="2FB98C0F" w:rsidR="004E6C38" w:rsidRDefault="004E6C38" w:rsidP="004E6C38">
      <w:pPr>
        <w:spacing w:after="160" w:line="259" w:lineRule="auto"/>
        <w:jc w:val="both"/>
        <w:rPr>
          <w:rFonts w:ascii="Times New Roman" w:eastAsiaTheme="minorHAnsi" w:hAnsi="Times New Roman"/>
          <w:sz w:val="24"/>
          <w:szCs w:val="22"/>
          <w:lang w:eastAsia="en-US"/>
        </w:rPr>
      </w:pPr>
    </w:p>
    <w:p w14:paraId="7C3EE4BA" w14:textId="21C3E84C" w:rsidR="00A635F6" w:rsidRDefault="00A635F6" w:rsidP="004E6C38">
      <w:pPr>
        <w:spacing w:after="160" w:line="259" w:lineRule="auto"/>
        <w:jc w:val="both"/>
        <w:rPr>
          <w:rFonts w:ascii="Times New Roman" w:eastAsiaTheme="minorHAnsi" w:hAnsi="Times New Roman"/>
          <w:sz w:val="24"/>
          <w:szCs w:val="22"/>
          <w:lang w:eastAsia="en-US"/>
        </w:rPr>
      </w:pPr>
    </w:p>
    <w:p w14:paraId="73B37A6E" w14:textId="1040E032" w:rsidR="00A635F6" w:rsidRDefault="00A635F6" w:rsidP="004E6C38">
      <w:pPr>
        <w:spacing w:after="160" w:line="259" w:lineRule="auto"/>
        <w:jc w:val="both"/>
        <w:rPr>
          <w:rFonts w:ascii="Times New Roman" w:eastAsiaTheme="minorHAnsi" w:hAnsi="Times New Roman"/>
          <w:sz w:val="24"/>
          <w:szCs w:val="22"/>
          <w:lang w:eastAsia="en-US"/>
        </w:rPr>
      </w:pPr>
    </w:p>
    <w:p w14:paraId="23E5A26D" w14:textId="6853E34C" w:rsidR="00A635F6" w:rsidRDefault="00A635F6" w:rsidP="004E6C38">
      <w:pPr>
        <w:spacing w:after="160" w:line="259" w:lineRule="auto"/>
        <w:jc w:val="both"/>
        <w:rPr>
          <w:rFonts w:ascii="Times New Roman" w:eastAsiaTheme="minorHAnsi" w:hAnsi="Times New Roman"/>
          <w:sz w:val="24"/>
          <w:szCs w:val="22"/>
          <w:lang w:eastAsia="en-US"/>
        </w:rPr>
      </w:pPr>
    </w:p>
    <w:p w14:paraId="7543D3FE" w14:textId="3ADB1B5F" w:rsidR="00A635F6" w:rsidRDefault="00A635F6" w:rsidP="004E6C38">
      <w:pPr>
        <w:spacing w:after="160" w:line="259" w:lineRule="auto"/>
        <w:jc w:val="both"/>
        <w:rPr>
          <w:rFonts w:ascii="Times New Roman" w:eastAsiaTheme="minorHAnsi" w:hAnsi="Times New Roman"/>
          <w:sz w:val="24"/>
          <w:szCs w:val="22"/>
          <w:lang w:eastAsia="en-US"/>
        </w:rPr>
      </w:pPr>
    </w:p>
    <w:p w14:paraId="02B5F1F1" w14:textId="0D180B9D" w:rsidR="00A635F6" w:rsidRDefault="00A635F6" w:rsidP="004E6C38">
      <w:pPr>
        <w:spacing w:after="160" w:line="259" w:lineRule="auto"/>
        <w:jc w:val="both"/>
        <w:rPr>
          <w:rFonts w:ascii="Times New Roman" w:eastAsiaTheme="minorHAnsi" w:hAnsi="Times New Roman"/>
          <w:sz w:val="24"/>
          <w:szCs w:val="22"/>
          <w:lang w:eastAsia="en-US"/>
        </w:rPr>
      </w:pPr>
    </w:p>
    <w:p w14:paraId="6E823F5A" w14:textId="376F87E8" w:rsidR="00A635F6" w:rsidRDefault="00A635F6" w:rsidP="004E6C38">
      <w:pPr>
        <w:spacing w:after="160" w:line="259" w:lineRule="auto"/>
        <w:jc w:val="both"/>
        <w:rPr>
          <w:rFonts w:ascii="Times New Roman" w:eastAsiaTheme="minorHAnsi" w:hAnsi="Times New Roman"/>
          <w:sz w:val="24"/>
          <w:szCs w:val="22"/>
          <w:lang w:eastAsia="en-US"/>
        </w:rPr>
      </w:pPr>
    </w:p>
    <w:p w14:paraId="4CBD9F87" w14:textId="18DA6331" w:rsidR="00A635F6" w:rsidRDefault="00A635F6" w:rsidP="004E6C38">
      <w:pPr>
        <w:spacing w:after="160" w:line="259" w:lineRule="auto"/>
        <w:jc w:val="both"/>
        <w:rPr>
          <w:rFonts w:ascii="Times New Roman" w:eastAsiaTheme="minorHAnsi" w:hAnsi="Times New Roman"/>
          <w:sz w:val="24"/>
          <w:szCs w:val="22"/>
          <w:lang w:eastAsia="en-US"/>
        </w:rPr>
      </w:pPr>
    </w:p>
    <w:p w14:paraId="21622EEC" w14:textId="535D7F3C" w:rsidR="00A635F6" w:rsidRPr="00A635F6" w:rsidRDefault="00A635F6" w:rsidP="00A635F6">
      <w:pPr>
        <w:spacing w:after="160" w:line="259" w:lineRule="auto"/>
        <w:jc w:val="both"/>
        <w:rPr>
          <w:rFonts w:ascii="Times New Roman" w:eastAsiaTheme="minorHAnsi" w:hAnsi="Times New Roman"/>
          <w:sz w:val="24"/>
          <w:szCs w:val="22"/>
          <w:lang w:eastAsia="en-US"/>
        </w:rPr>
      </w:pPr>
      <w:bookmarkStart w:id="2" w:name="_GoBack"/>
      <w:bookmarkEnd w:id="2"/>
    </w:p>
    <w:p w14:paraId="05EA2997" w14:textId="7DEFAB71" w:rsidR="00A635F6" w:rsidRPr="00A635F6" w:rsidRDefault="00A635F6" w:rsidP="00A635F6">
      <w:pPr>
        <w:spacing w:after="120"/>
        <w:rPr>
          <w:rFonts w:ascii="Times New Roman" w:eastAsiaTheme="majorEastAsia" w:hAnsi="Times New Roman"/>
          <w:b/>
          <w:color w:val="2E74B5" w:themeColor="accent1" w:themeShade="BF"/>
          <w:sz w:val="22"/>
          <w:szCs w:val="22"/>
          <w:lang w:eastAsia="en-US"/>
        </w:rPr>
      </w:pPr>
    </w:p>
    <w:p w14:paraId="4EAEDE96" w14:textId="77777777" w:rsidR="00A635F6" w:rsidRPr="00A635F6" w:rsidRDefault="00A635F6" w:rsidP="00A635F6">
      <w:pPr>
        <w:spacing w:after="120"/>
        <w:rPr>
          <w:rFonts w:ascii="Times New Roman" w:eastAsiaTheme="minorHAnsi" w:hAnsi="Times New Roman"/>
          <w:b/>
          <w:bCs/>
          <w:sz w:val="21"/>
          <w:szCs w:val="21"/>
          <w:lang w:eastAsia="en-US"/>
        </w:rPr>
      </w:pPr>
      <w:r w:rsidRPr="00A635F6">
        <w:rPr>
          <w:rFonts w:ascii="Times New Roman" w:eastAsiaTheme="minorHAnsi" w:hAnsi="Times New Roman"/>
          <w:b/>
          <w:bCs/>
          <w:sz w:val="21"/>
          <w:szCs w:val="21"/>
          <w:lang w:eastAsia="en-US"/>
        </w:rPr>
        <w:t xml:space="preserve">Verzia: 1.0                          </w:t>
      </w:r>
    </w:p>
    <w:p w14:paraId="259E0BF1" w14:textId="3C6FBA56" w:rsidR="00A635F6" w:rsidRPr="00A635F6" w:rsidRDefault="009B50C8" w:rsidP="00A635F6">
      <w:pPr>
        <w:spacing w:after="120"/>
        <w:rPr>
          <w:rFonts w:ascii="Times New Roman" w:eastAsiaTheme="minorHAnsi" w:hAnsi="Times New Roman"/>
          <w:b/>
          <w:bCs/>
          <w:sz w:val="21"/>
          <w:szCs w:val="21"/>
          <w:lang w:eastAsia="en-US"/>
        </w:rPr>
      </w:pPr>
      <w:r>
        <w:rPr>
          <w:rFonts w:ascii="Times New Roman" w:eastAsiaTheme="minorHAnsi" w:hAnsi="Times New Roman"/>
          <w:b/>
          <w:bCs/>
          <w:sz w:val="21"/>
          <w:szCs w:val="21"/>
          <w:lang w:eastAsia="en-US"/>
        </w:rPr>
        <w:t>Platnosť od:  5</w:t>
      </w:r>
      <w:r w:rsidR="00A635F6" w:rsidRPr="00A635F6">
        <w:rPr>
          <w:rFonts w:ascii="Times New Roman" w:eastAsiaTheme="minorHAnsi" w:hAnsi="Times New Roman"/>
          <w:b/>
          <w:bCs/>
          <w:sz w:val="21"/>
          <w:szCs w:val="21"/>
          <w:lang w:eastAsia="en-US"/>
        </w:rPr>
        <w:t xml:space="preserve">.10.2023                                  </w:t>
      </w:r>
    </w:p>
    <w:p w14:paraId="65478FC8" w14:textId="646C2CC1" w:rsidR="00A635F6" w:rsidRPr="00D4390C" w:rsidRDefault="009B50C8" w:rsidP="00530194">
      <w:pPr>
        <w:spacing w:after="120"/>
        <w:rPr>
          <w:rFonts w:ascii="Times New Roman" w:eastAsiaTheme="minorHAnsi" w:hAnsi="Times New Roman"/>
          <w:b/>
          <w:bCs/>
          <w:sz w:val="21"/>
          <w:szCs w:val="21"/>
          <w:lang w:eastAsia="en-US"/>
        </w:rPr>
      </w:pPr>
      <w:r>
        <w:rPr>
          <w:rFonts w:ascii="Times New Roman" w:eastAsiaTheme="minorHAnsi" w:hAnsi="Times New Roman"/>
          <w:b/>
          <w:bCs/>
          <w:sz w:val="21"/>
          <w:szCs w:val="21"/>
          <w:lang w:eastAsia="en-US"/>
        </w:rPr>
        <w:t>Účinnosť od: 5</w:t>
      </w:r>
      <w:r w:rsidR="00A635F6" w:rsidRPr="00A635F6">
        <w:rPr>
          <w:rFonts w:ascii="Times New Roman" w:eastAsiaTheme="minorHAnsi" w:hAnsi="Times New Roman"/>
          <w:b/>
          <w:bCs/>
          <w:sz w:val="21"/>
          <w:szCs w:val="21"/>
          <w:lang w:eastAsia="en-US"/>
        </w:rPr>
        <w:t>.10.2023</w:t>
      </w:r>
    </w:p>
    <w:p w14:paraId="1F11E156" w14:textId="07D47C30" w:rsidR="002A6CE7" w:rsidRDefault="006D57B8" w:rsidP="00EF2537">
      <w:pPr>
        <w:spacing w:after="160" w:line="259" w:lineRule="auto"/>
        <w:jc w:val="both"/>
        <w:rPr>
          <w:rFonts w:ascii="Times New Roman" w:hAnsi="Times New Roman"/>
          <w:b/>
          <w:sz w:val="28"/>
          <w:szCs w:val="28"/>
        </w:rPr>
      </w:pPr>
      <w:r>
        <w:rPr>
          <w:rFonts w:ascii="Times New Roman" w:hAnsi="Times New Roman"/>
          <w:b/>
          <w:color w:val="0070C0"/>
          <w:sz w:val="24"/>
          <w:szCs w:val="24"/>
        </w:rPr>
        <w:lastRenderedPageBreak/>
        <w:t>OBSAH</w:t>
      </w:r>
    </w:p>
    <w:sdt>
      <w:sdtPr>
        <w:rPr>
          <w:rFonts w:ascii="Arial" w:eastAsia="Times New Roman" w:hAnsi="Arial" w:cs="Times New Roman"/>
          <w:b w:val="0"/>
          <w:sz w:val="22"/>
          <w:szCs w:val="22"/>
        </w:rPr>
        <w:id w:val="-1053999962"/>
        <w:docPartObj>
          <w:docPartGallery w:val="Table of Contents"/>
          <w:docPartUnique/>
        </w:docPartObj>
      </w:sdtPr>
      <w:sdtEndPr>
        <w:rPr>
          <w:bCs/>
        </w:rPr>
      </w:sdtEndPr>
      <w:sdtContent>
        <w:p w14:paraId="00AA0A82" w14:textId="7DACEC0A" w:rsidR="000B37A4" w:rsidRPr="00AA0058" w:rsidRDefault="000B37A4" w:rsidP="00AA0058">
          <w:pPr>
            <w:pStyle w:val="Hlavikaobsahu"/>
            <w:ind w:left="0" w:firstLine="0"/>
            <w:rPr>
              <w:sz w:val="22"/>
              <w:szCs w:val="22"/>
            </w:rPr>
          </w:pPr>
        </w:p>
        <w:p w14:paraId="6C32A9DA" w14:textId="635874EE" w:rsidR="003237CF" w:rsidRPr="00AA0058" w:rsidRDefault="000B37A4">
          <w:pPr>
            <w:pStyle w:val="Obsah2"/>
            <w:rPr>
              <w:rFonts w:eastAsiaTheme="minorEastAsia"/>
              <w:b w:val="0"/>
              <w:lang w:eastAsia="sk-SK"/>
            </w:rPr>
          </w:pPr>
          <w:r w:rsidRPr="00AA0058">
            <w:fldChar w:fldCharType="begin"/>
          </w:r>
          <w:r w:rsidRPr="00AA0058">
            <w:instrText xml:space="preserve"> TOC \o "1-3" \h \z \u </w:instrText>
          </w:r>
          <w:r w:rsidRPr="00AA0058">
            <w:fldChar w:fldCharType="separate"/>
          </w:r>
          <w:hyperlink w:anchor="_Toc97642156" w:history="1">
            <w:r w:rsidR="003237CF" w:rsidRPr="00AA0058">
              <w:rPr>
                <w:rStyle w:val="Hypertextovprepojenie"/>
                <w:rFonts w:ascii="Times New Roman" w:hAnsi="Times New Roman" w:cs="Times New Roman"/>
                <w:sz w:val="22"/>
              </w:rPr>
              <w:t>1.</w:t>
            </w:r>
            <w:r w:rsidR="003237CF" w:rsidRPr="00AA0058">
              <w:rPr>
                <w:rFonts w:eastAsiaTheme="minorEastAsia"/>
                <w:b w:val="0"/>
                <w:lang w:eastAsia="sk-SK"/>
              </w:rPr>
              <w:tab/>
            </w:r>
            <w:r w:rsidR="003237CF" w:rsidRPr="00AA0058">
              <w:rPr>
                <w:rStyle w:val="Hypertextovprepojenie"/>
                <w:rFonts w:ascii="Times New Roman" w:hAnsi="Times New Roman" w:cs="Times New Roman"/>
                <w:sz w:val="22"/>
              </w:rPr>
              <w:t>Úvod</w:t>
            </w:r>
            <w:r w:rsidR="003237CF" w:rsidRPr="00AA0058">
              <w:rPr>
                <w:webHidden/>
              </w:rPr>
              <w:tab/>
            </w:r>
            <w:r w:rsidR="003237CF" w:rsidRPr="00AA0058">
              <w:rPr>
                <w:webHidden/>
              </w:rPr>
              <w:fldChar w:fldCharType="begin"/>
            </w:r>
            <w:r w:rsidR="003237CF" w:rsidRPr="00AA0058">
              <w:rPr>
                <w:webHidden/>
              </w:rPr>
              <w:instrText xml:space="preserve"> PAGEREF _Toc97642156 \h </w:instrText>
            </w:r>
            <w:r w:rsidR="003237CF" w:rsidRPr="00AA0058">
              <w:rPr>
                <w:webHidden/>
              </w:rPr>
            </w:r>
            <w:r w:rsidR="003237CF" w:rsidRPr="00AA0058">
              <w:rPr>
                <w:webHidden/>
              </w:rPr>
              <w:fldChar w:fldCharType="separate"/>
            </w:r>
            <w:r w:rsidR="00CB23F4">
              <w:rPr>
                <w:webHidden/>
              </w:rPr>
              <w:t>3</w:t>
            </w:r>
            <w:r w:rsidR="003237CF" w:rsidRPr="00AA0058">
              <w:rPr>
                <w:webHidden/>
              </w:rPr>
              <w:fldChar w:fldCharType="end"/>
            </w:r>
          </w:hyperlink>
        </w:p>
        <w:p w14:paraId="6EAAFD23" w14:textId="187015D5" w:rsidR="003237CF" w:rsidRPr="00AA0058" w:rsidRDefault="009B50C8">
          <w:pPr>
            <w:pStyle w:val="Obsah2"/>
            <w:rPr>
              <w:rFonts w:eastAsiaTheme="minorEastAsia"/>
              <w:b w:val="0"/>
              <w:lang w:eastAsia="sk-SK"/>
            </w:rPr>
          </w:pPr>
          <w:hyperlink w:anchor="_Toc97642157" w:history="1">
            <w:r w:rsidR="003237CF" w:rsidRPr="00AA0058">
              <w:rPr>
                <w:rStyle w:val="Hypertextovprepojenie"/>
                <w:rFonts w:ascii="Times New Roman" w:hAnsi="Times New Roman" w:cs="Times New Roman"/>
                <w:sz w:val="22"/>
              </w:rPr>
              <w:t>2.</w:t>
            </w:r>
            <w:r w:rsidR="003237CF" w:rsidRPr="00AA0058">
              <w:rPr>
                <w:rFonts w:eastAsiaTheme="minorEastAsia"/>
                <w:b w:val="0"/>
                <w:lang w:eastAsia="sk-SK"/>
              </w:rPr>
              <w:tab/>
            </w:r>
            <w:r w:rsidR="003237CF" w:rsidRPr="00AA0058">
              <w:rPr>
                <w:rStyle w:val="Hypertextovprepojenie"/>
                <w:rFonts w:ascii="Times New Roman" w:hAnsi="Times New Roman" w:cs="Times New Roman"/>
                <w:sz w:val="22"/>
              </w:rPr>
              <w:t>Definícia pojmov pre oblasť systému riadenia rizík</w:t>
            </w:r>
            <w:r w:rsidR="003237CF" w:rsidRPr="00AA0058">
              <w:rPr>
                <w:webHidden/>
              </w:rPr>
              <w:tab/>
            </w:r>
            <w:r w:rsidR="003237CF" w:rsidRPr="00AA0058">
              <w:rPr>
                <w:webHidden/>
              </w:rPr>
              <w:fldChar w:fldCharType="begin"/>
            </w:r>
            <w:r w:rsidR="003237CF" w:rsidRPr="00AA0058">
              <w:rPr>
                <w:webHidden/>
              </w:rPr>
              <w:instrText xml:space="preserve"> PAGEREF _Toc97642157 \h </w:instrText>
            </w:r>
            <w:r w:rsidR="003237CF" w:rsidRPr="00AA0058">
              <w:rPr>
                <w:webHidden/>
              </w:rPr>
            </w:r>
            <w:r w:rsidR="003237CF" w:rsidRPr="00AA0058">
              <w:rPr>
                <w:webHidden/>
              </w:rPr>
              <w:fldChar w:fldCharType="separate"/>
            </w:r>
            <w:r w:rsidR="00CB23F4">
              <w:rPr>
                <w:webHidden/>
              </w:rPr>
              <w:t>3</w:t>
            </w:r>
            <w:r w:rsidR="003237CF" w:rsidRPr="00AA0058">
              <w:rPr>
                <w:webHidden/>
              </w:rPr>
              <w:fldChar w:fldCharType="end"/>
            </w:r>
          </w:hyperlink>
        </w:p>
        <w:p w14:paraId="30BE2C1D" w14:textId="081B1B66" w:rsidR="003237CF" w:rsidRPr="00AA0058" w:rsidRDefault="009B50C8">
          <w:pPr>
            <w:pStyle w:val="Obsah2"/>
            <w:rPr>
              <w:rFonts w:eastAsiaTheme="minorEastAsia"/>
              <w:b w:val="0"/>
              <w:lang w:eastAsia="sk-SK"/>
            </w:rPr>
          </w:pPr>
          <w:hyperlink w:anchor="_Toc97642158" w:history="1">
            <w:r w:rsidR="003237CF" w:rsidRPr="00AA0058">
              <w:rPr>
                <w:rStyle w:val="Hypertextovprepojenie"/>
                <w:rFonts w:ascii="Times New Roman" w:hAnsi="Times New Roman" w:cs="Times New Roman"/>
                <w:sz w:val="22"/>
              </w:rPr>
              <w:t xml:space="preserve">3. </w:t>
            </w:r>
            <w:r w:rsidR="003237CF" w:rsidRPr="00AA0058">
              <w:rPr>
                <w:rFonts w:eastAsiaTheme="minorEastAsia"/>
                <w:b w:val="0"/>
                <w:lang w:eastAsia="sk-SK"/>
              </w:rPr>
              <w:tab/>
            </w:r>
            <w:r w:rsidR="003237CF" w:rsidRPr="00AA0058">
              <w:rPr>
                <w:rStyle w:val="Hypertextovprepojenie"/>
                <w:rFonts w:ascii="Times New Roman" w:hAnsi="Times New Roman" w:cs="Times New Roman"/>
                <w:sz w:val="22"/>
              </w:rPr>
              <w:t xml:space="preserve">Zodpovednosti zamestnancov </w:t>
            </w:r>
            <w:r w:rsidR="00EB129C" w:rsidRPr="00AA0058">
              <w:rPr>
                <w:rStyle w:val="Hypertextovprepojenie"/>
                <w:rFonts w:ascii="Times New Roman" w:hAnsi="Times New Roman" w:cs="Times New Roman"/>
                <w:sz w:val="22"/>
              </w:rPr>
              <w:t>R</w:t>
            </w:r>
            <w:r w:rsidR="003237CF" w:rsidRPr="00AA0058">
              <w:rPr>
                <w:rStyle w:val="Hypertextovprepojenie"/>
                <w:rFonts w:ascii="Times New Roman" w:hAnsi="Times New Roman" w:cs="Times New Roman"/>
                <w:sz w:val="22"/>
              </w:rPr>
              <w:t>O pri riadení rizík</w:t>
            </w:r>
            <w:r w:rsidR="003237CF" w:rsidRPr="00AA0058">
              <w:rPr>
                <w:webHidden/>
              </w:rPr>
              <w:tab/>
            </w:r>
            <w:r w:rsidR="00A70D30">
              <w:rPr>
                <w:webHidden/>
              </w:rPr>
              <w:t>7</w:t>
            </w:r>
          </w:hyperlink>
        </w:p>
        <w:p w14:paraId="0AAF2CE1" w14:textId="15A1337D" w:rsidR="003237CF" w:rsidRPr="00AA0058" w:rsidRDefault="009B50C8">
          <w:pPr>
            <w:pStyle w:val="Obsah2"/>
            <w:rPr>
              <w:rFonts w:eastAsiaTheme="minorEastAsia"/>
              <w:b w:val="0"/>
              <w:lang w:eastAsia="sk-SK"/>
            </w:rPr>
          </w:pPr>
          <w:hyperlink w:anchor="_Toc97642159" w:history="1">
            <w:r w:rsidR="003237CF" w:rsidRPr="00AA0058">
              <w:rPr>
                <w:rStyle w:val="Hypertextovprepojenie"/>
                <w:rFonts w:ascii="Times New Roman" w:hAnsi="Times New Roman" w:cs="Times New Roman"/>
                <w:sz w:val="22"/>
              </w:rPr>
              <w:t>4.</w:t>
            </w:r>
            <w:r w:rsidR="003237CF" w:rsidRPr="00AA0058">
              <w:rPr>
                <w:rFonts w:eastAsiaTheme="minorEastAsia"/>
                <w:b w:val="0"/>
                <w:lang w:eastAsia="sk-SK"/>
              </w:rPr>
              <w:tab/>
            </w:r>
            <w:r w:rsidR="003237CF" w:rsidRPr="00AA0058">
              <w:rPr>
                <w:rStyle w:val="Hypertextovprepojenie"/>
                <w:rFonts w:ascii="Times New Roman" w:hAnsi="Times New Roman" w:cs="Times New Roman"/>
                <w:sz w:val="22"/>
              </w:rPr>
              <w:t>Systém riadenia rizík</w:t>
            </w:r>
            <w:r w:rsidR="003237CF" w:rsidRPr="00AA0058">
              <w:rPr>
                <w:webHidden/>
              </w:rPr>
              <w:tab/>
            </w:r>
          </w:hyperlink>
          <w:r w:rsidR="00737049">
            <w:t>7</w:t>
          </w:r>
        </w:p>
        <w:p w14:paraId="7D596D21" w14:textId="33899DE9" w:rsidR="003237CF" w:rsidRPr="00AA0058" w:rsidRDefault="009B50C8">
          <w:pPr>
            <w:pStyle w:val="Obsah2"/>
            <w:rPr>
              <w:rFonts w:eastAsiaTheme="minorEastAsia"/>
              <w:b w:val="0"/>
              <w:lang w:eastAsia="sk-SK"/>
            </w:rPr>
          </w:pPr>
          <w:hyperlink w:anchor="_Toc97642160" w:history="1">
            <w:r w:rsidR="003237CF" w:rsidRPr="00AA0058">
              <w:rPr>
                <w:rStyle w:val="Hypertextovprepojenie"/>
                <w:rFonts w:ascii="Times New Roman" w:hAnsi="Times New Roman" w:cs="Times New Roman"/>
                <w:sz w:val="22"/>
              </w:rPr>
              <w:t xml:space="preserve">5. </w:t>
            </w:r>
            <w:r w:rsidR="003237CF" w:rsidRPr="00AA0058">
              <w:rPr>
                <w:rFonts w:eastAsiaTheme="minorEastAsia"/>
                <w:b w:val="0"/>
                <w:lang w:eastAsia="sk-SK"/>
              </w:rPr>
              <w:tab/>
            </w:r>
            <w:r w:rsidR="003237CF" w:rsidRPr="00AA0058">
              <w:rPr>
                <w:rStyle w:val="Hypertextovprepojenie"/>
                <w:rFonts w:ascii="Times New Roman" w:hAnsi="Times New Roman" w:cs="Times New Roman"/>
                <w:sz w:val="22"/>
              </w:rPr>
              <w:t>Fázy riadenia rizík</w:t>
            </w:r>
            <w:r w:rsidR="003237CF" w:rsidRPr="00AA0058">
              <w:rPr>
                <w:webHidden/>
              </w:rPr>
              <w:tab/>
            </w:r>
            <w:r w:rsidR="003237CF" w:rsidRPr="00AA0058">
              <w:rPr>
                <w:webHidden/>
              </w:rPr>
              <w:fldChar w:fldCharType="begin"/>
            </w:r>
            <w:r w:rsidR="003237CF" w:rsidRPr="00AA0058">
              <w:rPr>
                <w:webHidden/>
              </w:rPr>
              <w:instrText xml:space="preserve"> PAGEREF _Toc97642160 \h </w:instrText>
            </w:r>
            <w:r w:rsidR="003237CF" w:rsidRPr="00AA0058">
              <w:rPr>
                <w:webHidden/>
              </w:rPr>
            </w:r>
            <w:r w:rsidR="003237CF" w:rsidRPr="00AA0058">
              <w:rPr>
                <w:webHidden/>
              </w:rPr>
              <w:fldChar w:fldCharType="separate"/>
            </w:r>
            <w:r w:rsidR="00CB23F4">
              <w:rPr>
                <w:webHidden/>
              </w:rPr>
              <w:t>7</w:t>
            </w:r>
            <w:r w:rsidR="003237CF" w:rsidRPr="00AA0058">
              <w:rPr>
                <w:webHidden/>
              </w:rPr>
              <w:fldChar w:fldCharType="end"/>
            </w:r>
          </w:hyperlink>
        </w:p>
        <w:p w14:paraId="6ABC906F" w14:textId="3527F5AB" w:rsidR="003237CF" w:rsidRPr="00AA0058" w:rsidRDefault="009B50C8">
          <w:pPr>
            <w:pStyle w:val="Obsah3"/>
            <w:rPr>
              <w:rFonts w:eastAsiaTheme="minorEastAsia"/>
              <w:sz w:val="22"/>
              <w:szCs w:val="22"/>
              <w:lang w:eastAsia="sk-SK"/>
            </w:rPr>
          </w:pPr>
          <w:hyperlink w:anchor="_Toc97642161" w:history="1">
            <w:r w:rsidR="003237CF" w:rsidRPr="00AA0058">
              <w:rPr>
                <w:rStyle w:val="Hypertextovprepojenie"/>
                <w:rFonts w:ascii="Times New Roman" w:hAnsi="Times New Roman" w:cs="Times New Roman"/>
                <w:sz w:val="22"/>
                <w:szCs w:val="22"/>
              </w:rPr>
              <w:t>5.1 Identifikácia rizík</w:t>
            </w:r>
            <w:r w:rsidR="003237CF" w:rsidRPr="00AA0058">
              <w:rPr>
                <w:webHidden/>
                <w:sz w:val="22"/>
                <w:szCs w:val="22"/>
              </w:rPr>
              <w:tab/>
            </w:r>
          </w:hyperlink>
          <w:r w:rsidR="00404458">
            <w:rPr>
              <w:sz w:val="22"/>
              <w:szCs w:val="22"/>
            </w:rPr>
            <w:t>8</w:t>
          </w:r>
        </w:p>
        <w:p w14:paraId="5EFDDF7E" w14:textId="33AF7D14" w:rsidR="003237CF" w:rsidRPr="00AA0058" w:rsidRDefault="009B50C8">
          <w:pPr>
            <w:pStyle w:val="Obsah3"/>
            <w:rPr>
              <w:rFonts w:eastAsiaTheme="minorEastAsia"/>
              <w:sz w:val="22"/>
              <w:szCs w:val="22"/>
              <w:lang w:eastAsia="sk-SK"/>
            </w:rPr>
          </w:pPr>
          <w:hyperlink w:anchor="_Toc97642162" w:history="1">
            <w:r w:rsidR="003237CF" w:rsidRPr="00AA0058">
              <w:rPr>
                <w:rStyle w:val="Hypertextovprepojenie"/>
                <w:rFonts w:ascii="Times New Roman" w:hAnsi="Times New Roman" w:cs="Times New Roman"/>
                <w:bCs/>
                <w:sz w:val="22"/>
                <w:szCs w:val="22"/>
              </w:rPr>
              <w:t>5.2 Analýza a hodnotenie rizík</w:t>
            </w:r>
            <w:r w:rsidR="003237CF" w:rsidRPr="00AA0058">
              <w:rPr>
                <w:webHidden/>
                <w:sz w:val="22"/>
                <w:szCs w:val="22"/>
              </w:rPr>
              <w:tab/>
            </w:r>
          </w:hyperlink>
          <w:r w:rsidR="00404458">
            <w:rPr>
              <w:sz w:val="22"/>
              <w:szCs w:val="22"/>
            </w:rPr>
            <w:t>8</w:t>
          </w:r>
        </w:p>
        <w:p w14:paraId="4C73D790" w14:textId="44648CC8" w:rsidR="003237CF" w:rsidRPr="00AA0058" w:rsidRDefault="009B50C8">
          <w:pPr>
            <w:pStyle w:val="Obsah3"/>
            <w:rPr>
              <w:rFonts w:eastAsiaTheme="minorEastAsia"/>
              <w:sz w:val="22"/>
              <w:szCs w:val="22"/>
              <w:lang w:eastAsia="sk-SK"/>
            </w:rPr>
          </w:pPr>
          <w:hyperlink w:anchor="_Toc97642163" w:history="1">
            <w:r w:rsidR="003237CF" w:rsidRPr="00AA0058">
              <w:rPr>
                <w:rStyle w:val="Hypertextovprepojenie"/>
                <w:rFonts w:ascii="Times New Roman" w:hAnsi="Times New Roman" w:cs="Times New Roman"/>
                <w:bCs/>
                <w:sz w:val="22"/>
                <w:szCs w:val="22"/>
              </w:rPr>
              <w:t>5.3 Definovanie existujúcich kontrolných mechanizmov</w:t>
            </w:r>
            <w:r w:rsidR="003237CF" w:rsidRPr="00AA0058">
              <w:rPr>
                <w:webHidden/>
                <w:sz w:val="22"/>
                <w:szCs w:val="22"/>
              </w:rPr>
              <w:tab/>
            </w:r>
            <w:r w:rsidR="003237CF" w:rsidRPr="00AA0058">
              <w:rPr>
                <w:webHidden/>
                <w:sz w:val="22"/>
                <w:szCs w:val="22"/>
              </w:rPr>
              <w:fldChar w:fldCharType="begin"/>
            </w:r>
            <w:r w:rsidR="003237CF" w:rsidRPr="00AA0058">
              <w:rPr>
                <w:webHidden/>
                <w:sz w:val="22"/>
                <w:szCs w:val="22"/>
              </w:rPr>
              <w:instrText xml:space="preserve"> PAGEREF _Toc97642163 \h </w:instrText>
            </w:r>
            <w:r w:rsidR="003237CF" w:rsidRPr="00AA0058">
              <w:rPr>
                <w:webHidden/>
                <w:sz w:val="22"/>
                <w:szCs w:val="22"/>
              </w:rPr>
            </w:r>
            <w:r w:rsidR="003237CF" w:rsidRPr="00AA0058">
              <w:rPr>
                <w:webHidden/>
                <w:sz w:val="22"/>
                <w:szCs w:val="22"/>
              </w:rPr>
              <w:fldChar w:fldCharType="separate"/>
            </w:r>
            <w:r w:rsidR="00CB23F4">
              <w:rPr>
                <w:webHidden/>
                <w:sz w:val="22"/>
                <w:szCs w:val="22"/>
              </w:rPr>
              <w:t>11</w:t>
            </w:r>
            <w:r w:rsidR="003237CF" w:rsidRPr="00AA0058">
              <w:rPr>
                <w:webHidden/>
                <w:sz w:val="22"/>
                <w:szCs w:val="22"/>
              </w:rPr>
              <w:fldChar w:fldCharType="end"/>
            </w:r>
          </w:hyperlink>
        </w:p>
        <w:p w14:paraId="132193A5" w14:textId="36397A8B" w:rsidR="003237CF" w:rsidRPr="00AA0058" w:rsidRDefault="009B50C8">
          <w:pPr>
            <w:pStyle w:val="Obsah3"/>
            <w:rPr>
              <w:rFonts w:eastAsiaTheme="minorEastAsia"/>
              <w:sz w:val="22"/>
              <w:szCs w:val="22"/>
              <w:lang w:eastAsia="sk-SK"/>
            </w:rPr>
          </w:pPr>
          <w:hyperlink w:anchor="_Toc97642164" w:history="1">
            <w:r w:rsidR="003237CF" w:rsidRPr="00AA0058">
              <w:rPr>
                <w:rStyle w:val="Hypertextovprepojenie"/>
                <w:rFonts w:ascii="Times New Roman" w:hAnsi="Times New Roman" w:cs="Times New Roman"/>
                <w:bCs/>
                <w:sz w:val="22"/>
                <w:szCs w:val="22"/>
              </w:rPr>
              <w:t>5.4 Navrhnutie opatrení a termínov</w:t>
            </w:r>
            <w:r w:rsidR="003237CF" w:rsidRPr="00AA0058">
              <w:rPr>
                <w:webHidden/>
                <w:sz w:val="22"/>
                <w:szCs w:val="22"/>
              </w:rPr>
              <w:tab/>
            </w:r>
            <w:r w:rsidR="003237CF" w:rsidRPr="00AA0058">
              <w:rPr>
                <w:webHidden/>
                <w:sz w:val="22"/>
                <w:szCs w:val="22"/>
              </w:rPr>
              <w:fldChar w:fldCharType="begin"/>
            </w:r>
            <w:r w:rsidR="003237CF" w:rsidRPr="00AA0058">
              <w:rPr>
                <w:webHidden/>
                <w:sz w:val="22"/>
                <w:szCs w:val="22"/>
              </w:rPr>
              <w:instrText xml:space="preserve"> PAGEREF _Toc97642164 \h </w:instrText>
            </w:r>
            <w:r w:rsidR="003237CF" w:rsidRPr="00AA0058">
              <w:rPr>
                <w:webHidden/>
                <w:sz w:val="22"/>
                <w:szCs w:val="22"/>
              </w:rPr>
            </w:r>
            <w:r w:rsidR="003237CF" w:rsidRPr="00AA0058">
              <w:rPr>
                <w:webHidden/>
                <w:sz w:val="22"/>
                <w:szCs w:val="22"/>
              </w:rPr>
              <w:fldChar w:fldCharType="separate"/>
            </w:r>
            <w:r w:rsidR="00CB23F4">
              <w:rPr>
                <w:webHidden/>
                <w:sz w:val="22"/>
                <w:szCs w:val="22"/>
              </w:rPr>
              <w:t>12</w:t>
            </w:r>
            <w:r w:rsidR="003237CF" w:rsidRPr="00AA0058">
              <w:rPr>
                <w:webHidden/>
                <w:sz w:val="22"/>
                <w:szCs w:val="22"/>
              </w:rPr>
              <w:fldChar w:fldCharType="end"/>
            </w:r>
          </w:hyperlink>
        </w:p>
        <w:p w14:paraId="0A29DCBD" w14:textId="7DCFDB3F" w:rsidR="003237CF" w:rsidRPr="00AA0058" w:rsidRDefault="009B50C8">
          <w:pPr>
            <w:pStyle w:val="Obsah3"/>
            <w:rPr>
              <w:rFonts w:eastAsiaTheme="minorEastAsia"/>
              <w:sz w:val="22"/>
              <w:szCs w:val="22"/>
              <w:lang w:eastAsia="sk-SK"/>
            </w:rPr>
          </w:pPr>
          <w:hyperlink w:anchor="_Toc97642165" w:history="1">
            <w:r w:rsidR="003237CF" w:rsidRPr="00AA0058">
              <w:rPr>
                <w:rStyle w:val="Hypertextovprepojenie"/>
                <w:rFonts w:ascii="Times New Roman" w:hAnsi="Times New Roman" w:cs="Times New Roman"/>
                <w:bCs/>
                <w:sz w:val="22"/>
                <w:szCs w:val="22"/>
              </w:rPr>
              <w:t>5.5 Monitorovanie rizík a prijatých opatrení</w:t>
            </w:r>
            <w:r w:rsidR="003237CF" w:rsidRPr="00AA0058">
              <w:rPr>
                <w:webHidden/>
                <w:sz w:val="22"/>
                <w:szCs w:val="22"/>
              </w:rPr>
              <w:tab/>
            </w:r>
            <w:r w:rsidR="003237CF" w:rsidRPr="00AA0058">
              <w:rPr>
                <w:webHidden/>
                <w:sz w:val="22"/>
                <w:szCs w:val="22"/>
              </w:rPr>
              <w:fldChar w:fldCharType="begin"/>
            </w:r>
            <w:r w:rsidR="003237CF" w:rsidRPr="00AA0058">
              <w:rPr>
                <w:webHidden/>
                <w:sz w:val="22"/>
                <w:szCs w:val="22"/>
              </w:rPr>
              <w:instrText xml:space="preserve"> PAGEREF _Toc97642165 \h </w:instrText>
            </w:r>
            <w:r w:rsidR="003237CF" w:rsidRPr="00AA0058">
              <w:rPr>
                <w:webHidden/>
                <w:sz w:val="22"/>
                <w:szCs w:val="22"/>
              </w:rPr>
            </w:r>
            <w:r w:rsidR="003237CF" w:rsidRPr="00AA0058">
              <w:rPr>
                <w:webHidden/>
                <w:sz w:val="22"/>
                <w:szCs w:val="22"/>
              </w:rPr>
              <w:fldChar w:fldCharType="separate"/>
            </w:r>
            <w:r w:rsidR="00CB23F4">
              <w:rPr>
                <w:webHidden/>
                <w:sz w:val="22"/>
                <w:szCs w:val="22"/>
              </w:rPr>
              <w:t>12</w:t>
            </w:r>
            <w:r w:rsidR="003237CF" w:rsidRPr="00AA0058">
              <w:rPr>
                <w:webHidden/>
                <w:sz w:val="22"/>
                <w:szCs w:val="22"/>
              </w:rPr>
              <w:fldChar w:fldCharType="end"/>
            </w:r>
          </w:hyperlink>
        </w:p>
        <w:p w14:paraId="0305F031" w14:textId="6A521358" w:rsidR="003237CF" w:rsidRPr="00AA0058" w:rsidRDefault="009B50C8">
          <w:pPr>
            <w:pStyle w:val="Obsah2"/>
            <w:rPr>
              <w:rFonts w:eastAsiaTheme="minorEastAsia"/>
              <w:b w:val="0"/>
              <w:lang w:eastAsia="sk-SK"/>
            </w:rPr>
          </w:pPr>
          <w:hyperlink w:anchor="_Toc97642166" w:history="1">
            <w:r w:rsidR="003237CF" w:rsidRPr="00AA0058">
              <w:rPr>
                <w:rStyle w:val="Hypertextovprepojenie"/>
                <w:rFonts w:ascii="Times New Roman" w:hAnsi="Times New Roman" w:cs="Times New Roman"/>
                <w:sz w:val="22"/>
              </w:rPr>
              <w:t>6.   Špecifické ustanovenia pre riadenie rizík podvodu</w:t>
            </w:r>
            <w:r w:rsidR="003237CF" w:rsidRPr="00AA0058">
              <w:rPr>
                <w:webHidden/>
              </w:rPr>
              <w:tab/>
            </w:r>
            <w:r w:rsidR="003237CF" w:rsidRPr="00AA0058">
              <w:rPr>
                <w:webHidden/>
              </w:rPr>
              <w:fldChar w:fldCharType="begin"/>
            </w:r>
            <w:r w:rsidR="003237CF" w:rsidRPr="00AA0058">
              <w:rPr>
                <w:webHidden/>
              </w:rPr>
              <w:instrText xml:space="preserve"> PAGEREF _Toc97642166 \h </w:instrText>
            </w:r>
            <w:r w:rsidR="003237CF" w:rsidRPr="00AA0058">
              <w:rPr>
                <w:webHidden/>
              </w:rPr>
            </w:r>
            <w:r w:rsidR="003237CF" w:rsidRPr="00AA0058">
              <w:rPr>
                <w:webHidden/>
              </w:rPr>
              <w:fldChar w:fldCharType="separate"/>
            </w:r>
            <w:r w:rsidR="00CB23F4">
              <w:rPr>
                <w:webHidden/>
              </w:rPr>
              <w:t>13</w:t>
            </w:r>
            <w:r w:rsidR="003237CF" w:rsidRPr="00AA0058">
              <w:rPr>
                <w:webHidden/>
              </w:rPr>
              <w:fldChar w:fldCharType="end"/>
            </w:r>
          </w:hyperlink>
        </w:p>
        <w:p w14:paraId="15DC3DC1" w14:textId="112F9E36" w:rsidR="003237CF" w:rsidRPr="00AA0058" w:rsidRDefault="009B50C8">
          <w:pPr>
            <w:pStyle w:val="Obsah3"/>
            <w:rPr>
              <w:rFonts w:eastAsiaTheme="minorEastAsia"/>
              <w:sz w:val="22"/>
              <w:szCs w:val="22"/>
              <w:lang w:eastAsia="sk-SK"/>
            </w:rPr>
          </w:pPr>
          <w:hyperlink w:anchor="_Toc97642167" w:history="1">
            <w:r w:rsidR="003237CF" w:rsidRPr="00AA0058">
              <w:rPr>
                <w:rStyle w:val="Hypertextovprepojenie"/>
                <w:rFonts w:ascii="Times New Roman" w:hAnsi="Times New Roman" w:cs="Times New Roman"/>
                <w:sz w:val="22"/>
                <w:szCs w:val="22"/>
              </w:rPr>
              <w:t>6.1 Prevencia</w:t>
            </w:r>
            <w:r w:rsidR="003237CF" w:rsidRPr="00AA0058">
              <w:rPr>
                <w:webHidden/>
                <w:sz w:val="22"/>
                <w:szCs w:val="22"/>
              </w:rPr>
              <w:tab/>
            </w:r>
            <w:r w:rsidR="003237CF" w:rsidRPr="00AA0058">
              <w:rPr>
                <w:webHidden/>
                <w:sz w:val="22"/>
                <w:szCs w:val="22"/>
              </w:rPr>
              <w:fldChar w:fldCharType="begin"/>
            </w:r>
            <w:r w:rsidR="003237CF" w:rsidRPr="00AA0058">
              <w:rPr>
                <w:webHidden/>
                <w:sz w:val="22"/>
                <w:szCs w:val="22"/>
              </w:rPr>
              <w:instrText xml:space="preserve"> PAGEREF _Toc97642167 \h </w:instrText>
            </w:r>
            <w:r w:rsidR="003237CF" w:rsidRPr="00AA0058">
              <w:rPr>
                <w:webHidden/>
                <w:sz w:val="22"/>
                <w:szCs w:val="22"/>
              </w:rPr>
            </w:r>
            <w:r w:rsidR="003237CF" w:rsidRPr="00AA0058">
              <w:rPr>
                <w:webHidden/>
                <w:sz w:val="22"/>
                <w:szCs w:val="22"/>
              </w:rPr>
              <w:fldChar w:fldCharType="separate"/>
            </w:r>
            <w:r w:rsidR="00CB23F4">
              <w:rPr>
                <w:webHidden/>
                <w:sz w:val="22"/>
                <w:szCs w:val="22"/>
              </w:rPr>
              <w:t>14</w:t>
            </w:r>
            <w:r w:rsidR="003237CF" w:rsidRPr="00AA0058">
              <w:rPr>
                <w:webHidden/>
                <w:sz w:val="22"/>
                <w:szCs w:val="22"/>
              </w:rPr>
              <w:fldChar w:fldCharType="end"/>
            </w:r>
          </w:hyperlink>
        </w:p>
        <w:p w14:paraId="3D39C033" w14:textId="0E95A53B" w:rsidR="003237CF" w:rsidRPr="00AA0058" w:rsidRDefault="009B50C8">
          <w:pPr>
            <w:pStyle w:val="Obsah3"/>
            <w:rPr>
              <w:rFonts w:eastAsiaTheme="minorEastAsia"/>
              <w:sz w:val="22"/>
              <w:szCs w:val="22"/>
              <w:lang w:eastAsia="sk-SK"/>
            </w:rPr>
          </w:pPr>
          <w:hyperlink w:anchor="_Toc97642168" w:history="1">
            <w:r w:rsidR="003237CF" w:rsidRPr="00AA0058">
              <w:rPr>
                <w:rStyle w:val="Hypertextovprepojenie"/>
                <w:rFonts w:ascii="Times New Roman" w:hAnsi="Times New Roman" w:cs="Times New Roman"/>
                <w:bCs/>
                <w:sz w:val="22"/>
                <w:szCs w:val="22"/>
              </w:rPr>
              <w:t>6.2 Detekcia</w:t>
            </w:r>
            <w:r w:rsidR="003237CF" w:rsidRPr="00AA0058">
              <w:rPr>
                <w:webHidden/>
                <w:sz w:val="22"/>
                <w:szCs w:val="22"/>
              </w:rPr>
              <w:tab/>
            </w:r>
            <w:r w:rsidR="003237CF" w:rsidRPr="00AA0058">
              <w:rPr>
                <w:webHidden/>
                <w:sz w:val="22"/>
                <w:szCs w:val="22"/>
              </w:rPr>
              <w:fldChar w:fldCharType="begin"/>
            </w:r>
            <w:r w:rsidR="003237CF" w:rsidRPr="00AA0058">
              <w:rPr>
                <w:webHidden/>
                <w:sz w:val="22"/>
                <w:szCs w:val="22"/>
              </w:rPr>
              <w:instrText xml:space="preserve"> PAGEREF _Toc97642168 \h </w:instrText>
            </w:r>
            <w:r w:rsidR="003237CF" w:rsidRPr="00AA0058">
              <w:rPr>
                <w:webHidden/>
                <w:sz w:val="22"/>
                <w:szCs w:val="22"/>
              </w:rPr>
            </w:r>
            <w:r w:rsidR="003237CF" w:rsidRPr="00AA0058">
              <w:rPr>
                <w:webHidden/>
                <w:sz w:val="22"/>
                <w:szCs w:val="22"/>
              </w:rPr>
              <w:fldChar w:fldCharType="separate"/>
            </w:r>
            <w:r w:rsidR="00CB23F4">
              <w:rPr>
                <w:webHidden/>
                <w:sz w:val="22"/>
                <w:szCs w:val="22"/>
              </w:rPr>
              <w:t>15</w:t>
            </w:r>
            <w:r w:rsidR="003237CF" w:rsidRPr="00AA0058">
              <w:rPr>
                <w:webHidden/>
                <w:sz w:val="22"/>
                <w:szCs w:val="22"/>
              </w:rPr>
              <w:fldChar w:fldCharType="end"/>
            </w:r>
          </w:hyperlink>
        </w:p>
        <w:p w14:paraId="6B8F4003" w14:textId="30974B3F" w:rsidR="003237CF" w:rsidRPr="00AA0058" w:rsidRDefault="009B50C8">
          <w:pPr>
            <w:pStyle w:val="Obsah3"/>
            <w:rPr>
              <w:rFonts w:eastAsiaTheme="minorEastAsia"/>
              <w:sz w:val="22"/>
              <w:szCs w:val="22"/>
              <w:lang w:eastAsia="sk-SK"/>
            </w:rPr>
          </w:pPr>
          <w:hyperlink w:anchor="_Toc97642169" w:history="1">
            <w:r w:rsidR="003237CF" w:rsidRPr="00AA0058">
              <w:rPr>
                <w:rStyle w:val="Hypertextovprepojenie"/>
                <w:rFonts w:ascii="Times New Roman" w:hAnsi="Times New Roman" w:cs="Times New Roman"/>
                <w:sz w:val="22"/>
                <w:szCs w:val="22"/>
              </w:rPr>
              <w:t>6.3 Náprava a stíhanie</w:t>
            </w:r>
            <w:r w:rsidR="003237CF" w:rsidRPr="00AA0058">
              <w:rPr>
                <w:webHidden/>
                <w:sz w:val="22"/>
                <w:szCs w:val="22"/>
              </w:rPr>
              <w:tab/>
            </w:r>
            <w:r w:rsidR="003237CF" w:rsidRPr="00AA0058">
              <w:rPr>
                <w:webHidden/>
                <w:sz w:val="22"/>
                <w:szCs w:val="22"/>
              </w:rPr>
              <w:fldChar w:fldCharType="begin"/>
            </w:r>
            <w:r w:rsidR="003237CF" w:rsidRPr="00AA0058">
              <w:rPr>
                <w:webHidden/>
                <w:sz w:val="22"/>
                <w:szCs w:val="22"/>
              </w:rPr>
              <w:instrText xml:space="preserve"> PAGEREF _Toc97642169 \h </w:instrText>
            </w:r>
            <w:r w:rsidR="003237CF" w:rsidRPr="00AA0058">
              <w:rPr>
                <w:webHidden/>
                <w:sz w:val="22"/>
                <w:szCs w:val="22"/>
              </w:rPr>
            </w:r>
            <w:r w:rsidR="003237CF" w:rsidRPr="00AA0058">
              <w:rPr>
                <w:webHidden/>
                <w:sz w:val="22"/>
                <w:szCs w:val="22"/>
              </w:rPr>
              <w:fldChar w:fldCharType="separate"/>
            </w:r>
            <w:r w:rsidR="00CB23F4">
              <w:rPr>
                <w:webHidden/>
                <w:sz w:val="22"/>
                <w:szCs w:val="22"/>
              </w:rPr>
              <w:t>18</w:t>
            </w:r>
            <w:r w:rsidR="003237CF" w:rsidRPr="00AA0058">
              <w:rPr>
                <w:webHidden/>
                <w:sz w:val="22"/>
                <w:szCs w:val="22"/>
              </w:rPr>
              <w:fldChar w:fldCharType="end"/>
            </w:r>
          </w:hyperlink>
        </w:p>
        <w:p w14:paraId="7197AAF9" w14:textId="0BA66171" w:rsidR="003237CF" w:rsidRPr="00AA0058" w:rsidRDefault="009B50C8">
          <w:pPr>
            <w:pStyle w:val="Obsah3"/>
            <w:rPr>
              <w:rFonts w:eastAsiaTheme="minorEastAsia"/>
              <w:sz w:val="22"/>
              <w:szCs w:val="22"/>
              <w:lang w:eastAsia="sk-SK"/>
            </w:rPr>
          </w:pPr>
          <w:hyperlink w:anchor="_Toc97642170" w:history="1">
            <w:r w:rsidR="003237CF" w:rsidRPr="00AA0058">
              <w:rPr>
                <w:rStyle w:val="Hypertextovprepojenie"/>
                <w:rFonts w:ascii="Times New Roman" w:hAnsi="Times New Roman" w:cs="Times New Roman"/>
                <w:sz w:val="22"/>
                <w:szCs w:val="22"/>
              </w:rPr>
              <w:t xml:space="preserve">6.4 Koordinácia </w:t>
            </w:r>
            <w:r w:rsidR="00DD3060">
              <w:rPr>
                <w:rStyle w:val="Hypertextovprepojenie"/>
                <w:rFonts w:ascii="Times New Roman" w:hAnsi="Times New Roman" w:cs="Times New Roman"/>
                <w:sz w:val="22"/>
                <w:szCs w:val="22"/>
              </w:rPr>
              <w:t>na národnej úrovni</w:t>
            </w:r>
            <w:r w:rsidR="003237CF" w:rsidRPr="00AA0058">
              <w:rPr>
                <w:webHidden/>
                <w:sz w:val="22"/>
                <w:szCs w:val="22"/>
              </w:rPr>
              <w:tab/>
            </w:r>
            <w:r w:rsidR="003237CF" w:rsidRPr="00AA0058">
              <w:rPr>
                <w:webHidden/>
                <w:sz w:val="22"/>
                <w:szCs w:val="22"/>
              </w:rPr>
              <w:fldChar w:fldCharType="begin"/>
            </w:r>
            <w:r w:rsidR="003237CF" w:rsidRPr="00AA0058">
              <w:rPr>
                <w:webHidden/>
                <w:sz w:val="22"/>
                <w:szCs w:val="22"/>
              </w:rPr>
              <w:instrText xml:space="preserve"> PAGEREF _Toc97642170 \h </w:instrText>
            </w:r>
            <w:r w:rsidR="003237CF" w:rsidRPr="00AA0058">
              <w:rPr>
                <w:webHidden/>
                <w:sz w:val="22"/>
                <w:szCs w:val="22"/>
              </w:rPr>
            </w:r>
            <w:r w:rsidR="003237CF" w:rsidRPr="00AA0058">
              <w:rPr>
                <w:webHidden/>
                <w:sz w:val="22"/>
                <w:szCs w:val="22"/>
              </w:rPr>
              <w:fldChar w:fldCharType="separate"/>
            </w:r>
            <w:r w:rsidR="00CB23F4">
              <w:rPr>
                <w:webHidden/>
                <w:sz w:val="22"/>
                <w:szCs w:val="22"/>
              </w:rPr>
              <w:t>19</w:t>
            </w:r>
            <w:r w:rsidR="003237CF" w:rsidRPr="00AA0058">
              <w:rPr>
                <w:webHidden/>
                <w:sz w:val="22"/>
                <w:szCs w:val="22"/>
              </w:rPr>
              <w:fldChar w:fldCharType="end"/>
            </w:r>
          </w:hyperlink>
        </w:p>
        <w:p w14:paraId="62870445" w14:textId="346C9883" w:rsidR="003237CF" w:rsidRPr="00AA0058" w:rsidRDefault="009B50C8">
          <w:pPr>
            <w:pStyle w:val="Obsah2"/>
            <w:rPr>
              <w:rFonts w:eastAsiaTheme="minorEastAsia"/>
              <w:b w:val="0"/>
              <w:lang w:eastAsia="sk-SK"/>
            </w:rPr>
          </w:pPr>
          <w:hyperlink w:anchor="_Toc97642171" w:history="1">
            <w:r w:rsidR="003237CF" w:rsidRPr="00AA0058">
              <w:rPr>
                <w:rStyle w:val="Hypertextovprepojenie"/>
                <w:rFonts w:ascii="Times New Roman" w:hAnsi="Times New Roman" w:cs="Times New Roman"/>
                <w:sz w:val="22"/>
              </w:rPr>
              <w:t>7.   Zoznam príloh</w:t>
            </w:r>
            <w:r w:rsidR="003237CF" w:rsidRPr="00AA0058">
              <w:rPr>
                <w:webHidden/>
              </w:rPr>
              <w:tab/>
            </w:r>
            <w:r w:rsidR="003237CF" w:rsidRPr="00AA0058">
              <w:rPr>
                <w:webHidden/>
              </w:rPr>
              <w:fldChar w:fldCharType="begin"/>
            </w:r>
            <w:r w:rsidR="003237CF" w:rsidRPr="00AA0058">
              <w:rPr>
                <w:webHidden/>
              </w:rPr>
              <w:instrText xml:space="preserve"> PAGEREF _Toc97642171 \h </w:instrText>
            </w:r>
            <w:r w:rsidR="003237CF" w:rsidRPr="00AA0058">
              <w:rPr>
                <w:webHidden/>
              </w:rPr>
            </w:r>
            <w:r w:rsidR="003237CF" w:rsidRPr="00AA0058">
              <w:rPr>
                <w:webHidden/>
              </w:rPr>
              <w:fldChar w:fldCharType="separate"/>
            </w:r>
            <w:r w:rsidR="00CB23F4">
              <w:rPr>
                <w:webHidden/>
              </w:rPr>
              <w:t>20</w:t>
            </w:r>
            <w:r w:rsidR="003237CF" w:rsidRPr="00AA0058">
              <w:rPr>
                <w:webHidden/>
              </w:rPr>
              <w:fldChar w:fldCharType="end"/>
            </w:r>
          </w:hyperlink>
        </w:p>
        <w:p w14:paraId="1661DDAB" w14:textId="19083DAC" w:rsidR="000B37A4" w:rsidRPr="00C6340F" w:rsidRDefault="000B37A4">
          <w:pPr>
            <w:rPr>
              <w:sz w:val="22"/>
              <w:szCs w:val="22"/>
            </w:rPr>
          </w:pPr>
          <w:r w:rsidRPr="00AA0058">
            <w:rPr>
              <w:b/>
              <w:bCs/>
              <w:sz w:val="22"/>
              <w:szCs w:val="22"/>
            </w:rPr>
            <w:fldChar w:fldCharType="end"/>
          </w:r>
        </w:p>
      </w:sdtContent>
    </w:sdt>
    <w:p w14:paraId="17C7F41A" w14:textId="1BCB7E2B" w:rsidR="00CA2922" w:rsidRDefault="00CA2922" w:rsidP="00826211">
      <w:pPr>
        <w:pStyle w:val="Hlavikaobsahu"/>
      </w:pPr>
    </w:p>
    <w:p w14:paraId="7FA8B5D5" w14:textId="35AA0DDD" w:rsidR="002A6CE7" w:rsidRDefault="002A6CE7" w:rsidP="00C3571B">
      <w:pPr>
        <w:spacing w:line="276" w:lineRule="auto"/>
        <w:rPr>
          <w:rFonts w:ascii="Times New Roman" w:hAnsi="Times New Roman"/>
          <w:b/>
        </w:rPr>
      </w:pPr>
    </w:p>
    <w:p w14:paraId="57E29540" w14:textId="03743670" w:rsidR="002A6CE7" w:rsidRDefault="002A6CE7" w:rsidP="00C3571B">
      <w:pPr>
        <w:spacing w:line="276" w:lineRule="auto"/>
        <w:rPr>
          <w:rFonts w:ascii="Times New Roman" w:hAnsi="Times New Roman"/>
          <w:b/>
        </w:rPr>
      </w:pPr>
    </w:p>
    <w:p w14:paraId="1C591AEA" w14:textId="5B714DFE" w:rsidR="002A6CE7" w:rsidRDefault="002A6CE7" w:rsidP="00C3571B">
      <w:pPr>
        <w:spacing w:line="276" w:lineRule="auto"/>
        <w:rPr>
          <w:rFonts w:ascii="Times New Roman" w:hAnsi="Times New Roman"/>
          <w:b/>
        </w:rPr>
      </w:pPr>
    </w:p>
    <w:p w14:paraId="1262A2D2" w14:textId="0D99541C" w:rsidR="002A6CE7" w:rsidRDefault="002A6CE7" w:rsidP="00C3571B">
      <w:pPr>
        <w:spacing w:line="276" w:lineRule="auto"/>
        <w:rPr>
          <w:rFonts w:ascii="Times New Roman" w:hAnsi="Times New Roman"/>
          <w:b/>
        </w:rPr>
      </w:pPr>
    </w:p>
    <w:p w14:paraId="4E3C660D" w14:textId="462F7D3C" w:rsidR="002A6CE7" w:rsidRDefault="002A6CE7" w:rsidP="00C3571B">
      <w:pPr>
        <w:spacing w:line="276" w:lineRule="auto"/>
        <w:rPr>
          <w:rFonts w:ascii="Times New Roman" w:hAnsi="Times New Roman"/>
          <w:b/>
        </w:rPr>
      </w:pPr>
    </w:p>
    <w:p w14:paraId="26E4322E" w14:textId="1FDA8747" w:rsidR="002A6CE7" w:rsidRDefault="002A6CE7" w:rsidP="00C3571B">
      <w:pPr>
        <w:spacing w:line="276" w:lineRule="auto"/>
        <w:rPr>
          <w:rFonts w:ascii="Times New Roman" w:hAnsi="Times New Roman"/>
          <w:b/>
        </w:rPr>
      </w:pPr>
    </w:p>
    <w:p w14:paraId="1D846531" w14:textId="3F02E011" w:rsidR="002A6CE7" w:rsidRDefault="002A6CE7" w:rsidP="00C3571B">
      <w:pPr>
        <w:spacing w:line="276" w:lineRule="auto"/>
        <w:rPr>
          <w:rFonts w:ascii="Times New Roman" w:hAnsi="Times New Roman"/>
          <w:b/>
        </w:rPr>
      </w:pPr>
    </w:p>
    <w:p w14:paraId="6C5ACBEF" w14:textId="5F5B1EEF" w:rsidR="002A6CE7" w:rsidRDefault="002A6CE7" w:rsidP="00C3571B">
      <w:pPr>
        <w:spacing w:line="276" w:lineRule="auto"/>
        <w:rPr>
          <w:rFonts w:ascii="Times New Roman" w:hAnsi="Times New Roman"/>
          <w:b/>
        </w:rPr>
      </w:pPr>
    </w:p>
    <w:p w14:paraId="45BE9A07" w14:textId="16DDF0BE" w:rsidR="002A6CE7" w:rsidRDefault="002A6CE7" w:rsidP="00C3571B">
      <w:pPr>
        <w:spacing w:line="276" w:lineRule="auto"/>
        <w:rPr>
          <w:rFonts w:ascii="Times New Roman" w:hAnsi="Times New Roman"/>
          <w:b/>
        </w:rPr>
      </w:pPr>
    </w:p>
    <w:p w14:paraId="5B696411" w14:textId="241DFFA9" w:rsidR="002A6CE7" w:rsidRDefault="002A6CE7" w:rsidP="00C3571B">
      <w:pPr>
        <w:spacing w:line="276" w:lineRule="auto"/>
        <w:rPr>
          <w:rFonts w:ascii="Times New Roman" w:hAnsi="Times New Roman"/>
          <w:b/>
        </w:rPr>
      </w:pPr>
    </w:p>
    <w:p w14:paraId="2DE5C0BA" w14:textId="1162D31F" w:rsidR="002A6CE7" w:rsidRDefault="002A6CE7" w:rsidP="00C3571B">
      <w:pPr>
        <w:spacing w:line="276" w:lineRule="auto"/>
        <w:rPr>
          <w:rFonts w:ascii="Times New Roman" w:hAnsi="Times New Roman"/>
          <w:b/>
        </w:rPr>
      </w:pPr>
    </w:p>
    <w:p w14:paraId="1749F3E7" w14:textId="54D2904D" w:rsidR="002A6CE7" w:rsidRDefault="002A6CE7" w:rsidP="00C3571B">
      <w:pPr>
        <w:spacing w:line="276" w:lineRule="auto"/>
        <w:rPr>
          <w:rFonts w:ascii="Times New Roman" w:hAnsi="Times New Roman"/>
          <w:b/>
        </w:rPr>
      </w:pPr>
    </w:p>
    <w:p w14:paraId="173DE8EE" w14:textId="77777777" w:rsidR="006D57B8" w:rsidRDefault="006D57B8" w:rsidP="00C3571B">
      <w:pPr>
        <w:spacing w:line="276" w:lineRule="auto"/>
        <w:rPr>
          <w:rFonts w:ascii="Times New Roman" w:hAnsi="Times New Roman"/>
          <w:b/>
        </w:rPr>
      </w:pPr>
    </w:p>
    <w:p w14:paraId="6F3C15ED" w14:textId="700558C3" w:rsidR="002A6CE7" w:rsidRDefault="002A6CE7" w:rsidP="002A6CE7">
      <w:pPr>
        <w:pStyle w:val="Default"/>
        <w:spacing w:after="200" w:line="276" w:lineRule="auto"/>
        <w:jc w:val="both"/>
        <w:rPr>
          <w:rFonts w:ascii="Times New Roman" w:hAnsi="Times New Roman" w:cs="Times New Roman"/>
          <w:b/>
          <w:color w:val="auto"/>
          <w:sz w:val="18"/>
          <w:szCs w:val="20"/>
        </w:rPr>
      </w:pPr>
    </w:p>
    <w:p w14:paraId="098B28EB" w14:textId="271FA3A8" w:rsidR="002A6CE7" w:rsidRPr="00450DEB" w:rsidRDefault="002A6CE7" w:rsidP="00112890">
      <w:pPr>
        <w:pStyle w:val="tl3"/>
        <w:ind w:left="284" w:hanging="284"/>
        <w:rPr>
          <w:color w:val="0070C0"/>
          <w:sz w:val="24"/>
          <w:szCs w:val="24"/>
        </w:rPr>
      </w:pPr>
      <w:bookmarkStart w:id="3" w:name="_Toc97642156"/>
      <w:r w:rsidRPr="00450DEB">
        <w:rPr>
          <w:color w:val="0070C0"/>
          <w:sz w:val="24"/>
          <w:szCs w:val="24"/>
        </w:rPr>
        <w:lastRenderedPageBreak/>
        <w:t>Ú</w:t>
      </w:r>
      <w:bookmarkEnd w:id="3"/>
      <w:r w:rsidR="00753DD8" w:rsidRPr="00630B1B">
        <w:rPr>
          <w:color w:val="0070C0"/>
          <w:sz w:val="24"/>
          <w:szCs w:val="24"/>
        </w:rPr>
        <w:t>VOD</w:t>
      </w:r>
    </w:p>
    <w:p w14:paraId="25D6905D" w14:textId="34B64902" w:rsidR="00BC2545" w:rsidRPr="00F571CB" w:rsidRDefault="00BC2545" w:rsidP="002A6CE7">
      <w:pPr>
        <w:pStyle w:val="Default"/>
        <w:spacing w:after="120" w:line="276" w:lineRule="auto"/>
        <w:jc w:val="both"/>
        <w:rPr>
          <w:rFonts w:ascii="Times New Roman" w:hAnsi="Times New Roman" w:cs="Times New Roman"/>
          <w:snapToGrid w:val="0"/>
          <w:sz w:val="22"/>
          <w:szCs w:val="22"/>
          <w:lang w:eastAsia="en-GB"/>
        </w:rPr>
      </w:pPr>
      <w:r w:rsidRPr="00F571CB">
        <w:rPr>
          <w:rFonts w:ascii="Times New Roman" w:hAnsi="Times New Roman" w:cs="Times New Roman"/>
          <w:snapToGrid w:val="0"/>
          <w:sz w:val="22"/>
          <w:szCs w:val="22"/>
          <w:lang w:eastAsia="en-GB"/>
        </w:rPr>
        <w:t xml:space="preserve">Programami Fondov pre oblasť vnútorných záležitostí </w:t>
      </w:r>
      <w:r w:rsidR="00517A09" w:rsidRPr="00F571CB">
        <w:rPr>
          <w:rFonts w:ascii="Times New Roman" w:hAnsi="Times New Roman" w:cs="Times New Roman"/>
          <w:snapToGrid w:val="0"/>
          <w:sz w:val="22"/>
          <w:szCs w:val="22"/>
          <w:lang w:eastAsia="en-GB"/>
        </w:rPr>
        <w:t xml:space="preserve">2021-2027 </w:t>
      </w:r>
      <w:r w:rsidRPr="00F571CB">
        <w:rPr>
          <w:rFonts w:ascii="Times New Roman" w:hAnsi="Times New Roman" w:cs="Times New Roman"/>
          <w:snapToGrid w:val="0"/>
          <w:sz w:val="22"/>
          <w:szCs w:val="22"/>
          <w:lang w:eastAsia="en-GB"/>
        </w:rPr>
        <w:t>sa rozumejú:</w:t>
      </w:r>
    </w:p>
    <w:p w14:paraId="283EB62C" w14:textId="7CBC9A7F" w:rsidR="00BC2545" w:rsidRPr="00F571CB" w:rsidRDefault="00BC2545" w:rsidP="00BC2545">
      <w:pPr>
        <w:pStyle w:val="Tiret1"/>
        <w:numPr>
          <w:ilvl w:val="0"/>
          <w:numId w:val="32"/>
        </w:numPr>
        <w:spacing w:before="0" w:after="0" w:line="276" w:lineRule="auto"/>
        <w:ind w:left="426" w:hanging="284"/>
        <w:rPr>
          <w:sz w:val="22"/>
          <w:lang w:val="sk-SK"/>
        </w:rPr>
      </w:pPr>
      <w:r w:rsidRPr="00F571CB">
        <w:rPr>
          <w:sz w:val="22"/>
          <w:lang w:val="sk-SK"/>
        </w:rPr>
        <w:t xml:space="preserve">program Fondu pre azyl, migráciu a integráciu (AMIF), </w:t>
      </w:r>
    </w:p>
    <w:p w14:paraId="6811CFBA" w14:textId="77777777" w:rsidR="00BC2545" w:rsidRPr="00F571CB" w:rsidRDefault="00BC2545" w:rsidP="00450DEB">
      <w:pPr>
        <w:pStyle w:val="Tiret1"/>
        <w:numPr>
          <w:ilvl w:val="0"/>
          <w:numId w:val="32"/>
        </w:numPr>
        <w:spacing w:before="0" w:after="0" w:line="276" w:lineRule="auto"/>
        <w:ind w:left="426" w:hanging="284"/>
        <w:rPr>
          <w:sz w:val="22"/>
          <w:lang w:val="sk-SK"/>
        </w:rPr>
      </w:pPr>
      <w:r w:rsidRPr="00F571CB">
        <w:rPr>
          <w:sz w:val="22"/>
          <w:lang w:val="sk-SK"/>
        </w:rPr>
        <w:t xml:space="preserve">program Fondu pre vnútornú bezpečnosť (ISF), </w:t>
      </w:r>
    </w:p>
    <w:p w14:paraId="42282702" w14:textId="58345FA7" w:rsidR="00BC2545" w:rsidRPr="00F571CB" w:rsidRDefault="00BC2545" w:rsidP="00450DEB">
      <w:pPr>
        <w:pStyle w:val="Tiret1"/>
        <w:numPr>
          <w:ilvl w:val="0"/>
          <w:numId w:val="32"/>
        </w:numPr>
        <w:spacing w:before="0" w:after="0" w:line="276" w:lineRule="auto"/>
        <w:ind w:left="426" w:hanging="284"/>
        <w:rPr>
          <w:sz w:val="22"/>
          <w:lang w:val="sk-SK"/>
        </w:rPr>
      </w:pPr>
      <w:r w:rsidRPr="00F571CB">
        <w:rPr>
          <w:sz w:val="22"/>
          <w:lang w:val="sk-SK"/>
        </w:rPr>
        <w:t>program Nástroja finančnej podpory na riadenie hraníc a vízovú politiku (BMVI).</w:t>
      </w:r>
      <w:r w:rsidRPr="00F571CB">
        <w:rPr>
          <w:sz w:val="22"/>
          <w:lang w:val="sk-SK"/>
        </w:rPr>
        <w:br/>
      </w:r>
    </w:p>
    <w:p w14:paraId="23270B9B" w14:textId="29E77AC0" w:rsidR="002A6CE7" w:rsidRPr="00F571CB" w:rsidRDefault="002A6CE7" w:rsidP="002A6CE7">
      <w:pPr>
        <w:pStyle w:val="Default"/>
        <w:spacing w:after="120" w:line="276" w:lineRule="auto"/>
        <w:jc w:val="both"/>
        <w:rPr>
          <w:rFonts w:ascii="Times New Roman" w:hAnsi="Times New Roman" w:cs="Times New Roman"/>
          <w:snapToGrid w:val="0"/>
          <w:sz w:val="22"/>
          <w:szCs w:val="22"/>
          <w:lang w:eastAsia="en-GB"/>
        </w:rPr>
      </w:pPr>
      <w:r w:rsidRPr="00F571CB">
        <w:rPr>
          <w:rFonts w:ascii="Times New Roman" w:hAnsi="Times New Roman" w:cs="Times New Roman"/>
          <w:snapToGrid w:val="0"/>
          <w:sz w:val="22"/>
          <w:szCs w:val="22"/>
          <w:lang w:eastAsia="en-GB"/>
        </w:rPr>
        <w:t xml:space="preserve">Implementácia </w:t>
      </w:r>
      <w:r w:rsidR="00C36630" w:rsidRPr="00F571CB">
        <w:rPr>
          <w:rFonts w:ascii="Times New Roman" w:hAnsi="Times New Roman" w:cs="Times New Roman"/>
          <w:snapToGrid w:val="0"/>
          <w:sz w:val="22"/>
          <w:szCs w:val="22"/>
          <w:lang w:eastAsia="en-GB"/>
        </w:rPr>
        <w:t xml:space="preserve">programov </w:t>
      </w:r>
      <w:r w:rsidRPr="00F571CB">
        <w:rPr>
          <w:rFonts w:ascii="Times New Roman" w:hAnsi="Times New Roman" w:cs="Times New Roman"/>
          <w:snapToGrid w:val="0"/>
          <w:sz w:val="22"/>
          <w:szCs w:val="22"/>
          <w:lang w:eastAsia="en-GB"/>
        </w:rPr>
        <w:t>na národnej úrovni sa riadi spoločným systémom riadenia a kontroly (ďalej len „SRK“)</w:t>
      </w:r>
      <w:r w:rsidR="009E36D3" w:rsidRPr="00F571CB">
        <w:rPr>
          <w:rFonts w:ascii="Times New Roman" w:hAnsi="Times New Roman" w:cs="Times New Roman"/>
          <w:snapToGrid w:val="0"/>
          <w:sz w:val="22"/>
          <w:szCs w:val="22"/>
          <w:lang w:eastAsia="en-GB"/>
        </w:rPr>
        <w:t>.</w:t>
      </w:r>
    </w:p>
    <w:p w14:paraId="2BF4F614" w14:textId="75B061ED" w:rsidR="002A6CE7" w:rsidRPr="00F571CB" w:rsidRDefault="002A6CE7" w:rsidP="002A6CE7">
      <w:pPr>
        <w:pStyle w:val="Default"/>
        <w:spacing w:after="120"/>
        <w:jc w:val="both"/>
        <w:rPr>
          <w:rFonts w:ascii="Times New Roman" w:hAnsi="Times New Roman" w:cs="Times New Roman"/>
          <w:snapToGrid w:val="0"/>
          <w:sz w:val="22"/>
          <w:szCs w:val="22"/>
          <w:lang w:eastAsia="en-GB"/>
        </w:rPr>
      </w:pPr>
      <w:r w:rsidRPr="00F571CB">
        <w:rPr>
          <w:rFonts w:ascii="Times New Roman" w:hAnsi="Times New Roman" w:cs="Times New Roman"/>
          <w:snapToGrid w:val="0"/>
          <w:sz w:val="22"/>
          <w:szCs w:val="22"/>
          <w:lang w:eastAsia="en-GB"/>
        </w:rPr>
        <w:t xml:space="preserve">Úlohy </w:t>
      </w:r>
      <w:r w:rsidR="007E6CC9" w:rsidRPr="00F571CB">
        <w:rPr>
          <w:rFonts w:ascii="Times New Roman" w:hAnsi="Times New Roman" w:cs="Times New Roman"/>
          <w:snapToGrid w:val="0"/>
          <w:sz w:val="22"/>
          <w:szCs w:val="22"/>
          <w:lang w:eastAsia="en-GB"/>
        </w:rPr>
        <w:t>RO programov</w:t>
      </w:r>
      <w:r w:rsidRPr="00F571CB">
        <w:rPr>
          <w:rFonts w:ascii="Times New Roman" w:hAnsi="Times New Roman" w:cs="Times New Roman"/>
          <w:snapToGrid w:val="0"/>
          <w:sz w:val="22"/>
          <w:szCs w:val="22"/>
          <w:lang w:eastAsia="en-GB"/>
        </w:rPr>
        <w:t xml:space="preserve"> vykonáva v rámci Ministerstva vnútra SR (ďalej len „MV SR“):</w:t>
      </w:r>
    </w:p>
    <w:p w14:paraId="6F911CA7" w14:textId="77777777" w:rsidR="002A6CE7" w:rsidRPr="00F571CB" w:rsidRDefault="002A6CE7" w:rsidP="00825C44">
      <w:pPr>
        <w:pStyle w:val="Default"/>
        <w:spacing w:after="120"/>
        <w:ind w:left="357"/>
        <w:jc w:val="both"/>
        <w:rPr>
          <w:rFonts w:ascii="Times New Roman" w:hAnsi="Times New Roman" w:cs="Times New Roman"/>
          <w:snapToGrid w:val="0"/>
          <w:sz w:val="22"/>
          <w:szCs w:val="22"/>
          <w:lang w:eastAsia="en-GB"/>
        </w:rPr>
      </w:pPr>
      <w:r w:rsidRPr="00F571CB">
        <w:rPr>
          <w:rFonts w:ascii="Times New Roman" w:hAnsi="Times New Roman" w:cs="Times New Roman"/>
          <w:snapToGrid w:val="0"/>
          <w:sz w:val="22"/>
          <w:szCs w:val="22"/>
          <w:lang w:eastAsia="en-GB"/>
        </w:rPr>
        <w:t>a)</w:t>
      </w:r>
      <w:r w:rsidRPr="00F571CB">
        <w:rPr>
          <w:rFonts w:ascii="Times New Roman" w:hAnsi="Times New Roman" w:cs="Times New Roman"/>
          <w:snapToGrid w:val="0"/>
          <w:sz w:val="22"/>
          <w:szCs w:val="22"/>
          <w:lang w:eastAsia="en-GB"/>
        </w:rPr>
        <w:tab/>
        <w:t xml:space="preserve">odbor zahraničnej pomoci sekcie európskych programov MV SR (ďalej len „OZP“); </w:t>
      </w:r>
    </w:p>
    <w:p w14:paraId="2D052622" w14:textId="464F4DE2" w:rsidR="002A6CE7" w:rsidRDefault="002A6CE7" w:rsidP="00825C44">
      <w:pPr>
        <w:pStyle w:val="Default"/>
        <w:spacing w:after="120"/>
        <w:ind w:left="702" w:hanging="345"/>
        <w:jc w:val="both"/>
        <w:rPr>
          <w:rFonts w:ascii="Times New Roman" w:hAnsi="Times New Roman" w:cs="Times New Roman"/>
          <w:snapToGrid w:val="0"/>
          <w:sz w:val="22"/>
          <w:szCs w:val="22"/>
          <w:lang w:eastAsia="en-GB"/>
        </w:rPr>
      </w:pPr>
      <w:r w:rsidRPr="00F571CB">
        <w:rPr>
          <w:rFonts w:ascii="Times New Roman" w:hAnsi="Times New Roman" w:cs="Times New Roman"/>
          <w:snapToGrid w:val="0"/>
          <w:sz w:val="22"/>
          <w:szCs w:val="22"/>
          <w:lang w:eastAsia="en-GB"/>
        </w:rPr>
        <w:t>b)</w:t>
      </w:r>
      <w:r w:rsidRPr="00F571CB">
        <w:rPr>
          <w:rFonts w:ascii="Times New Roman" w:hAnsi="Times New Roman" w:cs="Times New Roman"/>
          <w:snapToGrid w:val="0"/>
          <w:sz w:val="22"/>
          <w:szCs w:val="22"/>
          <w:lang w:eastAsia="en-GB"/>
        </w:rPr>
        <w:tab/>
        <w:t>oddelenie kontroly verejn</w:t>
      </w:r>
      <w:r w:rsidR="005A5DBD" w:rsidRPr="00F571CB">
        <w:rPr>
          <w:rFonts w:ascii="Times New Roman" w:hAnsi="Times New Roman" w:cs="Times New Roman"/>
          <w:snapToGrid w:val="0"/>
          <w:sz w:val="22"/>
          <w:szCs w:val="22"/>
          <w:lang w:eastAsia="en-GB"/>
        </w:rPr>
        <w:t>ého obstarávania</w:t>
      </w:r>
      <w:r w:rsidRPr="00F571CB">
        <w:rPr>
          <w:rFonts w:ascii="Times New Roman" w:hAnsi="Times New Roman" w:cs="Times New Roman"/>
          <w:snapToGrid w:val="0"/>
          <w:sz w:val="22"/>
          <w:szCs w:val="22"/>
          <w:lang w:eastAsia="en-GB"/>
        </w:rPr>
        <w:t xml:space="preserve"> organizačného odboru sekcie európskych programov MV SR (ďalej </w:t>
      </w:r>
      <w:r w:rsidR="005A5DBD" w:rsidRPr="00F571CB">
        <w:rPr>
          <w:rFonts w:ascii="Times New Roman" w:hAnsi="Times New Roman" w:cs="Times New Roman"/>
          <w:snapToGrid w:val="0"/>
          <w:sz w:val="22"/>
          <w:szCs w:val="22"/>
          <w:lang w:eastAsia="en-GB"/>
        </w:rPr>
        <w:t>len „OKVO</w:t>
      </w:r>
      <w:r w:rsidRPr="00F571CB">
        <w:rPr>
          <w:rFonts w:ascii="Times New Roman" w:hAnsi="Times New Roman" w:cs="Times New Roman"/>
          <w:snapToGrid w:val="0"/>
          <w:sz w:val="22"/>
          <w:szCs w:val="22"/>
          <w:lang w:eastAsia="en-GB"/>
        </w:rPr>
        <w:t>“);</w:t>
      </w:r>
    </w:p>
    <w:p w14:paraId="6B6BBB6E" w14:textId="76311A65" w:rsidR="00EA1180" w:rsidRPr="00F571CB" w:rsidRDefault="00EA1180" w:rsidP="00825C44">
      <w:pPr>
        <w:pStyle w:val="Default"/>
        <w:spacing w:after="120"/>
        <w:ind w:left="702" w:hanging="345"/>
        <w:jc w:val="both"/>
        <w:rPr>
          <w:rFonts w:ascii="Times New Roman" w:hAnsi="Times New Roman" w:cs="Times New Roman"/>
          <w:snapToGrid w:val="0"/>
          <w:sz w:val="22"/>
          <w:szCs w:val="22"/>
          <w:lang w:eastAsia="en-GB"/>
        </w:rPr>
      </w:pPr>
      <w:r>
        <w:rPr>
          <w:rFonts w:ascii="Times New Roman" w:hAnsi="Times New Roman" w:cs="Times New Roman"/>
          <w:snapToGrid w:val="0"/>
          <w:sz w:val="22"/>
          <w:szCs w:val="22"/>
          <w:lang w:eastAsia="en-GB"/>
        </w:rPr>
        <w:t>c)</w:t>
      </w:r>
      <w:r w:rsidR="00FA029F">
        <w:rPr>
          <w:rFonts w:ascii="Times New Roman" w:hAnsi="Times New Roman" w:cs="Times New Roman"/>
          <w:snapToGrid w:val="0"/>
          <w:sz w:val="22"/>
          <w:szCs w:val="22"/>
          <w:lang w:eastAsia="en-GB"/>
        </w:rPr>
        <w:t xml:space="preserve">   oddelenie </w:t>
      </w:r>
      <w:r w:rsidR="00FA029F" w:rsidRPr="00FA029F">
        <w:rPr>
          <w:rFonts w:ascii="Times New Roman" w:hAnsi="Times New Roman" w:cs="Times New Roman"/>
          <w:snapToGrid w:val="0"/>
          <w:sz w:val="22"/>
          <w:szCs w:val="22"/>
          <w:lang w:eastAsia="en-GB"/>
        </w:rPr>
        <w:t>kontroly a auditov organizačného odboru sekcie európskych programov MV SR (</w:t>
      </w:r>
      <w:r w:rsidR="00FA029F">
        <w:rPr>
          <w:rFonts w:ascii="Times New Roman" w:hAnsi="Times New Roman" w:cs="Times New Roman"/>
          <w:snapToGrid w:val="0"/>
          <w:sz w:val="22"/>
          <w:szCs w:val="22"/>
          <w:lang w:eastAsia="en-GB"/>
        </w:rPr>
        <w:t>ďalej len „</w:t>
      </w:r>
      <w:r w:rsidR="00FA029F" w:rsidRPr="00FA029F">
        <w:rPr>
          <w:rFonts w:ascii="Times New Roman" w:hAnsi="Times New Roman" w:cs="Times New Roman"/>
          <w:snapToGrid w:val="0"/>
          <w:sz w:val="22"/>
          <w:szCs w:val="22"/>
          <w:lang w:eastAsia="en-GB"/>
        </w:rPr>
        <w:t>OKaA</w:t>
      </w:r>
      <w:r w:rsidR="00FA029F">
        <w:rPr>
          <w:rFonts w:ascii="Times New Roman" w:hAnsi="Times New Roman" w:cs="Times New Roman"/>
          <w:snapToGrid w:val="0"/>
          <w:sz w:val="22"/>
          <w:szCs w:val="22"/>
          <w:lang w:eastAsia="en-GB"/>
        </w:rPr>
        <w:t>“</w:t>
      </w:r>
      <w:r w:rsidR="00FA029F" w:rsidRPr="00FA029F">
        <w:rPr>
          <w:rFonts w:ascii="Times New Roman" w:hAnsi="Times New Roman" w:cs="Times New Roman"/>
          <w:snapToGrid w:val="0"/>
          <w:sz w:val="22"/>
          <w:szCs w:val="22"/>
          <w:lang w:eastAsia="en-GB"/>
        </w:rPr>
        <w:t>)</w:t>
      </w:r>
    </w:p>
    <w:p w14:paraId="3994BCBF" w14:textId="03FD847B" w:rsidR="002A6CE7" w:rsidRPr="00F571CB" w:rsidRDefault="00EA1180" w:rsidP="00825C44">
      <w:pPr>
        <w:pStyle w:val="Default"/>
        <w:spacing w:after="120" w:line="276" w:lineRule="auto"/>
        <w:ind w:left="702" w:hanging="345"/>
        <w:jc w:val="both"/>
        <w:rPr>
          <w:rFonts w:ascii="Times New Roman" w:hAnsi="Times New Roman" w:cs="Times New Roman"/>
          <w:snapToGrid w:val="0"/>
          <w:sz w:val="22"/>
          <w:szCs w:val="22"/>
          <w:lang w:eastAsia="en-GB"/>
        </w:rPr>
      </w:pPr>
      <w:r>
        <w:rPr>
          <w:rFonts w:ascii="Times New Roman" w:hAnsi="Times New Roman" w:cs="Times New Roman"/>
          <w:snapToGrid w:val="0"/>
          <w:sz w:val="22"/>
          <w:szCs w:val="22"/>
          <w:lang w:eastAsia="en-GB"/>
        </w:rPr>
        <w:t>d</w:t>
      </w:r>
      <w:r w:rsidR="002A6CE7" w:rsidRPr="00F571CB">
        <w:rPr>
          <w:rFonts w:ascii="Times New Roman" w:hAnsi="Times New Roman" w:cs="Times New Roman"/>
          <w:snapToGrid w:val="0"/>
          <w:sz w:val="22"/>
          <w:szCs w:val="22"/>
          <w:lang w:eastAsia="en-GB"/>
        </w:rPr>
        <w:t>)</w:t>
      </w:r>
      <w:r w:rsidR="002A6CE7" w:rsidRPr="00F571CB">
        <w:rPr>
          <w:rFonts w:ascii="Times New Roman" w:hAnsi="Times New Roman" w:cs="Times New Roman"/>
          <w:snapToGrid w:val="0"/>
          <w:sz w:val="22"/>
          <w:szCs w:val="22"/>
          <w:lang w:eastAsia="en-GB"/>
        </w:rPr>
        <w:tab/>
        <w:t>oddelenie financovania projektov E</w:t>
      </w:r>
      <w:r w:rsidR="005A5DBD" w:rsidRPr="00F571CB">
        <w:rPr>
          <w:rFonts w:ascii="Times New Roman" w:hAnsi="Times New Roman" w:cs="Times New Roman"/>
          <w:snapToGrid w:val="0"/>
          <w:sz w:val="22"/>
          <w:szCs w:val="22"/>
          <w:lang w:eastAsia="en-GB"/>
        </w:rPr>
        <w:t xml:space="preserve">Ú odboru </w:t>
      </w:r>
      <w:r w:rsidR="00C36630" w:rsidRPr="00F571CB">
        <w:rPr>
          <w:rFonts w:ascii="Times New Roman" w:hAnsi="Times New Roman" w:cs="Times New Roman"/>
          <w:snapToGrid w:val="0"/>
          <w:sz w:val="22"/>
          <w:szCs w:val="22"/>
          <w:lang w:eastAsia="en-GB"/>
        </w:rPr>
        <w:t xml:space="preserve">strategického plánovania a financovania </w:t>
      </w:r>
      <w:r w:rsidR="002A6CE7" w:rsidRPr="00F571CB">
        <w:rPr>
          <w:rFonts w:ascii="Times New Roman" w:hAnsi="Times New Roman" w:cs="Times New Roman"/>
          <w:snapToGrid w:val="0"/>
          <w:sz w:val="22"/>
          <w:szCs w:val="22"/>
          <w:lang w:eastAsia="en-GB"/>
        </w:rPr>
        <w:t>sekcie ekonomiky a oddelenie účtovníctva a štátna pokladnica odboru účtovníctva sekcie ekonomiky ako Platobná jednotka  (ďalej len „PJ“).</w:t>
      </w:r>
    </w:p>
    <w:p w14:paraId="6CED91E8" w14:textId="723DE8EE" w:rsidR="00F83363" w:rsidRPr="00F571CB" w:rsidRDefault="00A83B91">
      <w:pPr>
        <w:spacing w:line="276" w:lineRule="auto"/>
        <w:jc w:val="both"/>
        <w:rPr>
          <w:rFonts w:ascii="Times New Roman" w:hAnsi="Times New Roman"/>
          <w:b/>
          <w:bCs/>
          <w:sz w:val="22"/>
          <w:szCs w:val="22"/>
        </w:rPr>
      </w:pPr>
      <w:r w:rsidRPr="00F571CB">
        <w:rPr>
          <w:rFonts w:ascii="Times New Roman" w:hAnsi="Times New Roman"/>
          <w:sz w:val="22"/>
          <w:szCs w:val="22"/>
        </w:rPr>
        <w:t>V zmysle čl. 74 ods. 1 písm. c) nariadenia o spoločných ustanoveniach,</w:t>
      </w:r>
      <w:r w:rsidRPr="00F571CB">
        <w:rPr>
          <w:rStyle w:val="Odkaznapoznmkupodiarou"/>
          <w:sz w:val="22"/>
          <w:szCs w:val="22"/>
        </w:rPr>
        <w:footnoteReference w:id="1"/>
      </w:r>
      <w:r w:rsidRPr="00F571CB">
        <w:rPr>
          <w:rFonts w:ascii="Times New Roman" w:hAnsi="Times New Roman"/>
          <w:sz w:val="22"/>
          <w:szCs w:val="22"/>
        </w:rPr>
        <w:t xml:space="preserve"> </w:t>
      </w:r>
      <w:r w:rsidR="00900A39" w:rsidRPr="00F571CB">
        <w:rPr>
          <w:rFonts w:ascii="Times New Roman" w:hAnsi="Times New Roman"/>
          <w:sz w:val="22"/>
          <w:szCs w:val="22"/>
        </w:rPr>
        <w:t>má</w:t>
      </w:r>
      <w:r w:rsidRPr="00F571CB">
        <w:rPr>
          <w:rFonts w:ascii="Times New Roman" w:hAnsi="Times New Roman"/>
          <w:sz w:val="22"/>
          <w:szCs w:val="22"/>
        </w:rPr>
        <w:t xml:space="preserve"> </w:t>
      </w:r>
      <w:r w:rsidR="00911520" w:rsidRPr="00F571CB">
        <w:rPr>
          <w:rFonts w:ascii="Times New Roman" w:hAnsi="Times New Roman"/>
          <w:sz w:val="22"/>
          <w:szCs w:val="22"/>
        </w:rPr>
        <w:t xml:space="preserve">RO </w:t>
      </w:r>
      <w:r w:rsidR="0082377E" w:rsidRPr="00F571CB">
        <w:rPr>
          <w:rFonts w:ascii="Times New Roman" w:hAnsi="Times New Roman"/>
          <w:sz w:val="22"/>
          <w:szCs w:val="22"/>
        </w:rPr>
        <w:t>„</w:t>
      </w:r>
      <w:r w:rsidRPr="00F571CB">
        <w:rPr>
          <w:rFonts w:ascii="Times New Roman" w:hAnsi="Times New Roman"/>
          <w:b/>
          <w:bCs/>
          <w:sz w:val="22"/>
          <w:szCs w:val="22"/>
        </w:rPr>
        <w:t>účinné a primerané opatrenia a postupy na boj proti podvodom, pričom zohľadňuje zistené riziká</w:t>
      </w:r>
      <w:r w:rsidR="0082377E" w:rsidRPr="00F571CB">
        <w:rPr>
          <w:rFonts w:ascii="Times New Roman" w:hAnsi="Times New Roman"/>
          <w:b/>
          <w:bCs/>
          <w:sz w:val="22"/>
          <w:szCs w:val="22"/>
        </w:rPr>
        <w:t>“</w:t>
      </w:r>
      <w:r w:rsidRPr="00F571CB">
        <w:rPr>
          <w:rFonts w:ascii="Times New Roman" w:hAnsi="Times New Roman"/>
          <w:b/>
          <w:bCs/>
          <w:sz w:val="22"/>
          <w:szCs w:val="22"/>
        </w:rPr>
        <w:t>.</w:t>
      </w:r>
      <w:r w:rsidR="00900A39" w:rsidRPr="00F571CB">
        <w:rPr>
          <w:rFonts w:ascii="Times New Roman" w:hAnsi="Times New Roman"/>
          <w:sz w:val="22"/>
          <w:szCs w:val="22"/>
        </w:rPr>
        <w:t xml:space="preserve"> </w:t>
      </w:r>
      <w:r w:rsidR="00EE5BAE" w:rsidRPr="00F571CB">
        <w:rPr>
          <w:rFonts w:ascii="Times New Roman" w:hAnsi="Times New Roman"/>
          <w:sz w:val="22"/>
          <w:szCs w:val="22"/>
        </w:rPr>
        <w:t>Kľúčová požiadavka č. 7 na systém riadenia a</w:t>
      </w:r>
      <w:r w:rsidR="001A6FBC" w:rsidRPr="00F571CB">
        <w:rPr>
          <w:rFonts w:ascii="Times New Roman" w:hAnsi="Times New Roman"/>
          <w:sz w:val="22"/>
          <w:szCs w:val="22"/>
        </w:rPr>
        <w:t> </w:t>
      </w:r>
      <w:r w:rsidR="00EE5BAE" w:rsidRPr="00F571CB">
        <w:rPr>
          <w:rFonts w:ascii="Times New Roman" w:hAnsi="Times New Roman"/>
          <w:sz w:val="22"/>
          <w:szCs w:val="22"/>
        </w:rPr>
        <w:t>kontroly</w:t>
      </w:r>
      <w:r w:rsidR="001A6FBC" w:rsidRPr="00F571CB">
        <w:rPr>
          <w:rFonts w:ascii="Times New Roman" w:hAnsi="Times New Roman"/>
          <w:sz w:val="22"/>
          <w:szCs w:val="22"/>
        </w:rPr>
        <w:t xml:space="preserve"> z prílohy XI nariadenia o spoločných ustanoveniach následne</w:t>
      </w:r>
      <w:r w:rsidR="00F74308" w:rsidRPr="00F571CB">
        <w:rPr>
          <w:rFonts w:ascii="Times New Roman" w:hAnsi="Times New Roman"/>
          <w:sz w:val="22"/>
          <w:szCs w:val="22"/>
        </w:rPr>
        <w:t xml:space="preserve"> vyžaduje </w:t>
      </w:r>
      <w:r w:rsidR="00EE5BAE" w:rsidRPr="00F571CB">
        <w:rPr>
          <w:rFonts w:ascii="Times New Roman" w:hAnsi="Times New Roman"/>
          <w:sz w:val="22"/>
          <w:szCs w:val="22"/>
        </w:rPr>
        <w:t>„</w:t>
      </w:r>
      <w:r w:rsidR="0043255F" w:rsidRPr="00F571CB">
        <w:rPr>
          <w:rFonts w:ascii="Times New Roman" w:hAnsi="Times New Roman"/>
          <w:b/>
          <w:bCs/>
          <w:sz w:val="22"/>
          <w:szCs w:val="22"/>
        </w:rPr>
        <w:t>ú</w:t>
      </w:r>
      <w:r w:rsidR="00FF7062" w:rsidRPr="00F571CB">
        <w:rPr>
          <w:rFonts w:ascii="Times New Roman" w:hAnsi="Times New Roman"/>
          <w:b/>
          <w:bCs/>
          <w:sz w:val="22"/>
          <w:szCs w:val="22"/>
        </w:rPr>
        <w:t>činn</w:t>
      </w:r>
      <w:r w:rsidR="001A6FBC" w:rsidRPr="00F571CB">
        <w:rPr>
          <w:rFonts w:ascii="Times New Roman" w:hAnsi="Times New Roman"/>
          <w:b/>
          <w:bCs/>
          <w:sz w:val="22"/>
          <w:szCs w:val="22"/>
        </w:rPr>
        <w:t>ú</w:t>
      </w:r>
      <w:r w:rsidR="00FF7062" w:rsidRPr="00F571CB">
        <w:rPr>
          <w:rFonts w:ascii="Times New Roman" w:hAnsi="Times New Roman"/>
          <w:b/>
          <w:bCs/>
          <w:sz w:val="22"/>
          <w:szCs w:val="22"/>
        </w:rPr>
        <w:t xml:space="preserve"> implementáci</w:t>
      </w:r>
      <w:r w:rsidR="001A6FBC" w:rsidRPr="00F571CB">
        <w:rPr>
          <w:rFonts w:ascii="Times New Roman" w:hAnsi="Times New Roman"/>
          <w:b/>
          <w:bCs/>
          <w:sz w:val="22"/>
          <w:szCs w:val="22"/>
        </w:rPr>
        <w:t>u</w:t>
      </w:r>
      <w:r w:rsidR="00FF7062" w:rsidRPr="00F571CB">
        <w:rPr>
          <w:rFonts w:ascii="Times New Roman" w:hAnsi="Times New Roman"/>
          <w:b/>
          <w:bCs/>
          <w:sz w:val="22"/>
          <w:szCs w:val="22"/>
        </w:rPr>
        <w:t xml:space="preserve"> primeraných opatrení na boj proti podvodom</w:t>
      </w:r>
      <w:r w:rsidR="00FF7062" w:rsidRPr="00F571CB">
        <w:rPr>
          <w:rFonts w:ascii="Times New Roman" w:hAnsi="Times New Roman"/>
          <w:sz w:val="22"/>
          <w:szCs w:val="22"/>
        </w:rPr>
        <w:t>“.</w:t>
      </w:r>
      <w:r w:rsidR="00EE5BAE" w:rsidRPr="00F571CB">
        <w:rPr>
          <w:rStyle w:val="Odkaznapoznmkupodiarou"/>
          <w:sz w:val="22"/>
          <w:szCs w:val="22"/>
        </w:rPr>
        <w:footnoteReference w:id="2"/>
      </w:r>
    </w:p>
    <w:p w14:paraId="3D0CC179" w14:textId="77777777" w:rsidR="00303CC7" w:rsidRPr="00F571CB" w:rsidRDefault="00303CC7" w:rsidP="00303CC7">
      <w:pPr>
        <w:spacing w:line="276" w:lineRule="auto"/>
        <w:jc w:val="both"/>
        <w:rPr>
          <w:snapToGrid w:val="0"/>
          <w:sz w:val="22"/>
          <w:szCs w:val="22"/>
          <w:lang w:eastAsia="en-GB"/>
        </w:rPr>
      </w:pPr>
    </w:p>
    <w:p w14:paraId="2D671221" w14:textId="7951D1FF" w:rsidR="00303CC7" w:rsidRPr="00EF2537" w:rsidRDefault="00303CC7" w:rsidP="00303CC7">
      <w:pPr>
        <w:jc w:val="both"/>
        <w:rPr>
          <w:rFonts w:ascii="Times New Roman" w:hAnsi="Times New Roman"/>
          <w:sz w:val="22"/>
          <w:szCs w:val="22"/>
        </w:rPr>
      </w:pPr>
      <w:r w:rsidRPr="00F571CB">
        <w:rPr>
          <w:rFonts w:ascii="Times New Roman" w:hAnsi="Times New Roman"/>
          <w:sz w:val="22"/>
          <w:szCs w:val="22"/>
        </w:rPr>
        <w:t>Usmernenie k riadeniu rizík podvodov programov Fondov pre oblasť vnútorných záležitostí (ďalej len „</w:t>
      </w:r>
      <w:r w:rsidRPr="00EF2537">
        <w:rPr>
          <w:rFonts w:ascii="Times New Roman" w:hAnsi="Times New Roman"/>
          <w:sz w:val="22"/>
          <w:szCs w:val="22"/>
        </w:rPr>
        <w:t>usmernenie“) je spoločné a záväzné pre všetky tri zložky RO.</w:t>
      </w:r>
      <w:r w:rsidRPr="00EF2537">
        <w:rPr>
          <w:rFonts w:ascii="Times New Roman" w:hAnsi="Times New Roman"/>
          <w:b/>
          <w:sz w:val="22"/>
          <w:szCs w:val="22"/>
        </w:rPr>
        <w:t xml:space="preserve"> </w:t>
      </w:r>
      <w:r w:rsidRPr="00EF2537">
        <w:rPr>
          <w:rFonts w:ascii="Times New Roman" w:hAnsi="Times New Roman"/>
          <w:sz w:val="22"/>
          <w:szCs w:val="22"/>
        </w:rPr>
        <w:t xml:space="preserve">RO pri príprave tohto usmernenia </w:t>
      </w:r>
      <w:r w:rsidRPr="00EF2537">
        <w:rPr>
          <w:rFonts w:ascii="Times New Roman" w:hAnsi="Times New Roman"/>
          <w:bCs/>
          <w:iCs/>
          <w:sz w:val="22"/>
          <w:szCs w:val="22"/>
        </w:rPr>
        <w:t>vychádzal najmä z usmernenia EK EGESIF_14-0021-00 „Hodnotenie rizík podvodu a účinne a primerané opatrenia proti podvodom“, z nariadenia o spoločných ustanoveniach, zákona o príspevkoch z fondov EÚ,</w:t>
      </w:r>
      <w:r w:rsidR="00187FBC" w:rsidRPr="00EF2537">
        <w:rPr>
          <w:rStyle w:val="Odkaznapoznmkupodiarou"/>
          <w:bCs/>
          <w:iCs/>
          <w:sz w:val="22"/>
          <w:szCs w:val="22"/>
        </w:rPr>
        <w:footnoteReference w:id="3"/>
      </w:r>
      <w:r w:rsidRPr="00EF2537">
        <w:rPr>
          <w:rFonts w:ascii="Times New Roman" w:hAnsi="Times New Roman"/>
          <w:bCs/>
          <w:iCs/>
          <w:sz w:val="22"/>
          <w:szCs w:val="22"/>
        </w:rPr>
        <w:t xml:space="preserve"> zo SRK a</w:t>
      </w:r>
      <w:r w:rsidR="00FE3A13" w:rsidRPr="00EF2537">
        <w:rPr>
          <w:rFonts w:ascii="Times New Roman" w:hAnsi="Times New Roman"/>
          <w:bCs/>
          <w:iCs/>
          <w:sz w:val="22"/>
          <w:szCs w:val="22"/>
        </w:rPr>
        <w:t xml:space="preserve"> z </w:t>
      </w:r>
      <w:r w:rsidRPr="00EF2537">
        <w:rPr>
          <w:rFonts w:ascii="Times New Roman" w:hAnsi="Times New Roman"/>
          <w:bCs/>
          <w:iCs/>
          <w:sz w:val="22"/>
          <w:szCs w:val="22"/>
        </w:rPr>
        <w:t xml:space="preserve">usmernení </w:t>
      </w:r>
      <w:r w:rsidR="00FE3A13" w:rsidRPr="00EF2537">
        <w:rPr>
          <w:rFonts w:ascii="Times New Roman" w:hAnsi="Times New Roman"/>
          <w:bCs/>
          <w:iCs/>
          <w:sz w:val="22"/>
          <w:szCs w:val="22"/>
        </w:rPr>
        <w:t xml:space="preserve">odboru Národný úrad pre OLAF a </w:t>
      </w:r>
      <w:r w:rsidRPr="00EF2537">
        <w:rPr>
          <w:rFonts w:ascii="Times New Roman" w:hAnsi="Times New Roman"/>
          <w:bCs/>
          <w:iCs/>
          <w:sz w:val="22"/>
          <w:szCs w:val="22"/>
        </w:rPr>
        <w:t>Centrálneho koordinačného orgánu.</w:t>
      </w:r>
    </w:p>
    <w:p w14:paraId="0E51E788" w14:textId="77777777" w:rsidR="007F2119" w:rsidRPr="00EF2537" w:rsidRDefault="007F2119" w:rsidP="002A6CE7">
      <w:pPr>
        <w:jc w:val="both"/>
        <w:rPr>
          <w:rFonts w:ascii="Times New Roman" w:hAnsi="Times New Roman"/>
          <w:sz w:val="22"/>
          <w:szCs w:val="22"/>
        </w:rPr>
      </w:pPr>
    </w:p>
    <w:p w14:paraId="44DA1505" w14:textId="4DA2196B" w:rsidR="00380F2D" w:rsidRPr="00EE1C51" w:rsidRDefault="00380F2D" w:rsidP="00380F2D">
      <w:pPr>
        <w:spacing w:after="160" w:line="259" w:lineRule="auto"/>
        <w:jc w:val="both"/>
        <w:rPr>
          <w:rFonts w:ascii="Times New Roman" w:eastAsiaTheme="minorHAnsi" w:hAnsi="Times New Roman"/>
          <w:snapToGrid w:val="0"/>
          <w:sz w:val="22"/>
          <w:szCs w:val="22"/>
          <w:lang w:eastAsia="en-GB"/>
        </w:rPr>
      </w:pPr>
      <w:r w:rsidRPr="00EF2537">
        <w:rPr>
          <w:rFonts w:ascii="Times New Roman" w:eastAsia="Calibri" w:hAnsi="Times New Roman"/>
          <w:sz w:val="22"/>
          <w:szCs w:val="22"/>
          <w:lang w:eastAsia="en-US"/>
        </w:rPr>
        <w:t xml:space="preserve">Toto usmernenie nadobúda </w:t>
      </w:r>
      <w:r w:rsidRPr="00EF2537">
        <w:rPr>
          <w:rFonts w:ascii="Times New Roman" w:eastAsia="Calibri" w:hAnsi="Times New Roman"/>
          <w:b/>
          <w:sz w:val="22"/>
          <w:szCs w:val="22"/>
          <w:lang w:eastAsia="en-US"/>
        </w:rPr>
        <w:t xml:space="preserve">platnosť </w:t>
      </w:r>
      <w:r w:rsidRPr="00EF2537">
        <w:rPr>
          <w:rFonts w:ascii="Times New Roman" w:eastAsia="Calibri" w:hAnsi="Times New Roman"/>
          <w:sz w:val="22"/>
          <w:szCs w:val="22"/>
          <w:lang w:eastAsia="en-US"/>
        </w:rPr>
        <w:t>dňom jeho schválenia generálnym riaditeľom se</w:t>
      </w:r>
      <w:r w:rsidR="003B3DE1" w:rsidRPr="00EF2537">
        <w:rPr>
          <w:rFonts w:ascii="Times New Roman" w:eastAsia="Calibri" w:hAnsi="Times New Roman"/>
          <w:sz w:val="22"/>
          <w:szCs w:val="22"/>
          <w:lang w:eastAsia="en-US"/>
        </w:rPr>
        <w:t>kcie európskych programov MV SR</w:t>
      </w:r>
      <w:r w:rsidR="002F1E67" w:rsidRPr="00EF2537">
        <w:rPr>
          <w:rFonts w:ascii="Times New Roman" w:eastAsia="Calibri" w:hAnsi="Times New Roman"/>
          <w:sz w:val="22"/>
          <w:szCs w:val="22"/>
          <w:lang w:eastAsia="en-US"/>
        </w:rPr>
        <w:t xml:space="preserve">, </w:t>
      </w:r>
      <w:r w:rsidR="002F1E67" w:rsidRPr="00EF2537">
        <w:rPr>
          <w:rFonts w:ascii="Times New Roman" w:eastAsia="Calibri" w:hAnsi="Times New Roman"/>
          <w:b/>
          <w:sz w:val="22"/>
          <w:szCs w:val="22"/>
          <w:lang w:eastAsia="en-US"/>
        </w:rPr>
        <w:t>ú</w:t>
      </w:r>
      <w:r w:rsidRPr="00EF2537">
        <w:rPr>
          <w:rFonts w:ascii="Times New Roman" w:eastAsia="Calibri" w:hAnsi="Times New Roman"/>
          <w:b/>
          <w:sz w:val="22"/>
          <w:szCs w:val="22"/>
          <w:lang w:eastAsia="en-US"/>
        </w:rPr>
        <w:t>činnosť</w:t>
      </w:r>
      <w:r w:rsidR="003B3DE1" w:rsidRPr="00EF2537">
        <w:rPr>
          <w:rFonts w:ascii="Times New Roman" w:eastAsia="Calibri" w:hAnsi="Times New Roman"/>
          <w:b/>
          <w:sz w:val="22"/>
          <w:szCs w:val="22"/>
          <w:lang w:eastAsia="en-US"/>
        </w:rPr>
        <w:t xml:space="preserve"> </w:t>
      </w:r>
      <w:r w:rsidR="003B3DE1" w:rsidRPr="00EF2537">
        <w:rPr>
          <w:rFonts w:ascii="Times New Roman" w:eastAsia="Calibri" w:hAnsi="Times New Roman"/>
          <w:sz w:val="22"/>
          <w:szCs w:val="22"/>
          <w:lang w:eastAsia="en-US"/>
        </w:rPr>
        <w:t>je uveden</w:t>
      </w:r>
      <w:r w:rsidR="003B3DE1" w:rsidRPr="00EF2537">
        <w:rPr>
          <w:rFonts w:ascii="Times New Roman" w:eastAsiaTheme="minorHAnsi" w:hAnsi="Times New Roman"/>
          <w:snapToGrid w:val="0"/>
          <w:sz w:val="22"/>
          <w:szCs w:val="22"/>
          <w:lang w:eastAsia="en-GB"/>
        </w:rPr>
        <w:t>á na prvej strane</w:t>
      </w:r>
      <w:r w:rsidR="00B80DA3" w:rsidRPr="00EF2537">
        <w:rPr>
          <w:rFonts w:ascii="Times New Roman" w:eastAsiaTheme="minorHAnsi" w:hAnsi="Times New Roman"/>
          <w:snapToGrid w:val="0"/>
          <w:sz w:val="22"/>
          <w:szCs w:val="22"/>
          <w:lang w:eastAsia="en-GB"/>
        </w:rPr>
        <w:t xml:space="preserve"> usmernenia</w:t>
      </w:r>
      <w:r w:rsidR="003B3DE1" w:rsidRPr="00EF2537">
        <w:rPr>
          <w:rFonts w:ascii="Times New Roman" w:eastAsiaTheme="minorHAnsi" w:hAnsi="Times New Roman"/>
          <w:snapToGrid w:val="0"/>
          <w:sz w:val="22"/>
          <w:szCs w:val="22"/>
          <w:lang w:eastAsia="en-GB"/>
        </w:rPr>
        <w:t>.</w:t>
      </w:r>
    </w:p>
    <w:p w14:paraId="65C14E68" w14:textId="77777777" w:rsidR="00DB7FB9" w:rsidRPr="00EF2537" w:rsidRDefault="00DB7FB9" w:rsidP="003A3891">
      <w:pPr>
        <w:spacing w:line="276" w:lineRule="auto"/>
        <w:jc w:val="both"/>
        <w:rPr>
          <w:rFonts w:ascii="Times New Roman" w:hAnsi="Times New Roman"/>
          <w:sz w:val="22"/>
          <w:szCs w:val="22"/>
        </w:rPr>
      </w:pPr>
    </w:p>
    <w:p w14:paraId="625A3A57" w14:textId="106AAA22" w:rsidR="00DB7FB9" w:rsidRPr="00753DD8" w:rsidRDefault="00DB7FB9" w:rsidP="00CB23F4">
      <w:pPr>
        <w:pStyle w:val="BodyText1"/>
        <w:numPr>
          <w:ilvl w:val="0"/>
          <w:numId w:val="1"/>
        </w:numPr>
        <w:spacing w:before="0" w:after="0" w:line="276" w:lineRule="auto"/>
        <w:ind w:left="284" w:hanging="284"/>
        <w:rPr>
          <w:rFonts w:ascii="Times New Roman" w:eastAsiaTheme="majorEastAsia" w:hAnsi="Times New Roman"/>
          <w:b/>
          <w:color w:val="2E74B5" w:themeColor="accent1" w:themeShade="BF"/>
          <w:sz w:val="24"/>
          <w:szCs w:val="24"/>
        </w:rPr>
      </w:pPr>
      <w:bookmarkStart w:id="4" w:name="_Toc97642157"/>
      <w:r w:rsidRPr="00753DD8">
        <w:rPr>
          <w:rFonts w:ascii="Times New Roman" w:eastAsiaTheme="majorEastAsia" w:hAnsi="Times New Roman"/>
          <w:b/>
          <w:color w:val="2E74B5" w:themeColor="accent1" w:themeShade="BF"/>
          <w:sz w:val="24"/>
          <w:szCs w:val="24"/>
        </w:rPr>
        <w:t>DEFINÍCI</w:t>
      </w:r>
      <w:r w:rsidR="007E51CD">
        <w:rPr>
          <w:rFonts w:ascii="Times New Roman" w:eastAsiaTheme="majorEastAsia" w:hAnsi="Times New Roman"/>
          <w:b/>
          <w:color w:val="2E74B5" w:themeColor="accent1" w:themeShade="BF"/>
          <w:sz w:val="24"/>
          <w:szCs w:val="24"/>
        </w:rPr>
        <w:t>E</w:t>
      </w:r>
      <w:r w:rsidRPr="00753DD8">
        <w:rPr>
          <w:rFonts w:ascii="Times New Roman" w:eastAsiaTheme="majorEastAsia" w:hAnsi="Times New Roman"/>
          <w:b/>
          <w:color w:val="2E74B5" w:themeColor="accent1" w:themeShade="BF"/>
          <w:sz w:val="24"/>
          <w:szCs w:val="24"/>
        </w:rPr>
        <w:t xml:space="preserve"> POJMOV PRE OBLASŤ SYSTÉMU RIADENIA RIZÍK </w:t>
      </w:r>
      <w:bookmarkEnd w:id="0"/>
      <w:bookmarkEnd w:id="4"/>
      <w:r w:rsidR="007E51CD">
        <w:rPr>
          <w:rFonts w:ascii="Times New Roman" w:eastAsiaTheme="majorEastAsia" w:hAnsi="Times New Roman"/>
          <w:b/>
          <w:color w:val="2E74B5" w:themeColor="accent1" w:themeShade="BF"/>
          <w:sz w:val="24"/>
          <w:szCs w:val="24"/>
        </w:rPr>
        <w:t>PODVODOV</w:t>
      </w:r>
    </w:p>
    <w:p w14:paraId="3DCE3A16" w14:textId="77777777" w:rsidR="00DB7FB9" w:rsidRDefault="00DB7FB9" w:rsidP="00DB7FB9">
      <w:pPr>
        <w:pStyle w:val="BodyText1"/>
        <w:spacing w:before="0" w:after="0" w:line="276" w:lineRule="auto"/>
        <w:ind w:left="502"/>
        <w:rPr>
          <w:rFonts w:eastAsiaTheme="majorEastAsia"/>
          <w:color w:val="2E74B5" w:themeColor="accent1" w:themeShade="BF"/>
          <w:sz w:val="24"/>
          <w:szCs w:val="24"/>
        </w:rPr>
      </w:pPr>
    </w:p>
    <w:p w14:paraId="2D39970F" w14:textId="025A6ED3" w:rsidR="00383B50" w:rsidRPr="00DB7FB9" w:rsidRDefault="00383B50" w:rsidP="00DB7FB9">
      <w:pPr>
        <w:pStyle w:val="BodyText1"/>
        <w:spacing w:before="0" w:after="0" w:line="276" w:lineRule="auto"/>
        <w:rPr>
          <w:rFonts w:ascii="Times New Roman" w:hAnsi="Times New Roman"/>
          <w:color w:val="auto"/>
          <w:sz w:val="22"/>
          <w:szCs w:val="22"/>
          <w:lang w:val="sk-SK"/>
        </w:rPr>
      </w:pPr>
      <w:r w:rsidRPr="00DB7FB9">
        <w:rPr>
          <w:rFonts w:ascii="Times New Roman" w:hAnsi="Times New Roman"/>
          <w:color w:val="auto"/>
          <w:sz w:val="22"/>
          <w:szCs w:val="22"/>
          <w:lang w:val="sk-SK"/>
        </w:rPr>
        <w:t>V súčasnej dobe sa často stretávame s rôznym používaním a vysvetľovaním pojmov viac-menej spätých s rizikami. Ide najmä o výrazy ako riziko, riadenie rizík, analýza rizík, hodnotenie rizík. Nie vždy sú použité v správnom kontexte, preto nasleduje stručná charakteristika základných pojmov.</w:t>
      </w:r>
    </w:p>
    <w:p w14:paraId="2D399710" w14:textId="77777777" w:rsidR="00383B50" w:rsidRPr="00B566A6" w:rsidRDefault="00383B50" w:rsidP="000B37A4">
      <w:pPr>
        <w:pStyle w:val="Odsekzoznamu"/>
        <w:numPr>
          <w:ilvl w:val="0"/>
          <w:numId w:val="26"/>
        </w:numPr>
        <w:rPr>
          <w:rFonts w:ascii="Times New Roman" w:hAnsi="Times New Roman"/>
          <w:b/>
          <w:sz w:val="22"/>
        </w:rPr>
      </w:pPr>
      <w:bookmarkStart w:id="5" w:name="_Toc45873720"/>
      <w:r w:rsidRPr="00B566A6">
        <w:rPr>
          <w:rFonts w:ascii="Times New Roman" w:hAnsi="Times New Roman"/>
          <w:b/>
          <w:sz w:val="22"/>
        </w:rPr>
        <w:t>Riziko</w:t>
      </w:r>
      <w:bookmarkEnd w:id="5"/>
    </w:p>
    <w:p w14:paraId="2D399711" w14:textId="77777777" w:rsidR="00383B50" w:rsidRPr="00B566A6" w:rsidRDefault="00383B50" w:rsidP="00C3571B">
      <w:pPr>
        <w:pStyle w:val="BodyText1"/>
        <w:spacing w:line="276" w:lineRule="auto"/>
        <w:rPr>
          <w:rFonts w:ascii="Times New Roman" w:hAnsi="Times New Roman"/>
          <w:color w:val="auto"/>
          <w:sz w:val="22"/>
          <w:szCs w:val="22"/>
          <w:lang w:val="sk-SK"/>
        </w:rPr>
      </w:pPr>
      <w:r w:rsidRPr="00B566A6">
        <w:rPr>
          <w:rFonts w:ascii="Times New Roman" w:hAnsi="Times New Roman"/>
          <w:color w:val="auto"/>
          <w:sz w:val="22"/>
          <w:szCs w:val="22"/>
          <w:lang w:val="sk-SK"/>
        </w:rPr>
        <w:lastRenderedPageBreak/>
        <w:t xml:space="preserve">Existuje veľa definícií rizika, ale najčastejšie riziko definujeme ako možnosť, že nastane určitá skutočnosť, ktorá môže spôsobiť následné nežiadúce následky potenciálne politické, finančné, morálne škody alebo straty ako aj </w:t>
      </w:r>
      <w:r w:rsidRPr="00B566A6">
        <w:rPr>
          <w:rFonts w:ascii="Times New Roman" w:hAnsi="Times New Roman"/>
          <w:sz w:val="22"/>
          <w:szCs w:val="22"/>
          <w:lang w:val="sk-SK"/>
        </w:rPr>
        <w:t>značné poškodenie dobrého mena politiky súdržnosti ako aj slovenskej vlády a orgánov EÚ</w:t>
      </w:r>
      <w:r w:rsidRPr="00B566A6">
        <w:rPr>
          <w:rFonts w:ascii="Times New Roman" w:hAnsi="Times New Roman"/>
          <w:color w:val="auto"/>
          <w:sz w:val="22"/>
          <w:szCs w:val="22"/>
          <w:lang w:val="sk-SK"/>
        </w:rPr>
        <w:t>.</w:t>
      </w:r>
    </w:p>
    <w:p w14:paraId="2D399712" w14:textId="77777777" w:rsidR="00383B50" w:rsidRPr="00B566A6" w:rsidRDefault="00383B50" w:rsidP="00C3571B">
      <w:pPr>
        <w:pStyle w:val="BodyText1"/>
        <w:spacing w:line="276" w:lineRule="auto"/>
        <w:rPr>
          <w:rFonts w:ascii="Times New Roman" w:hAnsi="Times New Roman"/>
          <w:color w:val="auto"/>
          <w:sz w:val="22"/>
          <w:szCs w:val="22"/>
          <w:lang w:val="sk-SK"/>
        </w:rPr>
      </w:pPr>
      <w:r w:rsidRPr="00B566A6">
        <w:rPr>
          <w:rFonts w:ascii="Times New Roman" w:hAnsi="Times New Roman"/>
          <w:color w:val="auto"/>
          <w:sz w:val="22"/>
          <w:szCs w:val="22"/>
          <w:lang w:val="sk-SK"/>
        </w:rPr>
        <w:t>Riziko z pohľadu jeho štruktúry možno definovať aj ako kombináciu pravdepodobnosti vzniku určitej udalosti a jej následkov. Je potrebné si uvedomiť, že pri každom druhu činnosti existuje možnosť výskytu udalosti a následkov, ktoré predstavujú príležitosť priaznivého výsledku (pozitívna stránka) alebo ohrozenie úspešnosti (negatívna stránka).</w:t>
      </w:r>
    </w:p>
    <w:p w14:paraId="2D399713" w14:textId="77777777" w:rsidR="00383B50" w:rsidRPr="00B566A6" w:rsidRDefault="00383B50" w:rsidP="00C3571B">
      <w:pPr>
        <w:pStyle w:val="BodyText1"/>
        <w:spacing w:line="276" w:lineRule="auto"/>
        <w:rPr>
          <w:rFonts w:ascii="Times New Roman" w:hAnsi="Times New Roman"/>
          <w:color w:val="auto"/>
          <w:sz w:val="22"/>
          <w:szCs w:val="22"/>
          <w:lang w:val="sk-SK"/>
        </w:rPr>
      </w:pPr>
      <w:r w:rsidRPr="00B566A6">
        <w:rPr>
          <w:rFonts w:ascii="Times New Roman" w:hAnsi="Times New Roman"/>
          <w:color w:val="auto"/>
          <w:sz w:val="22"/>
          <w:szCs w:val="22"/>
          <w:lang w:val="sk-SK"/>
        </w:rPr>
        <w:t>Pozitívnu stránku vyjadruje pravdepodobnosť, ktorá je akceptovaná protistranou ako perspektíva zisku (finančného i nefinančného). Vzhľadom na účel tohto materiálu sa zameriavame len na negatívnu stránku rizika a na z toho vyplývajúce možné nežiadúce dopady.</w:t>
      </w:r>
    </w:p>
    <w:p w14:paraId="2D399714" w14:textId="03B37711" w:rsidR="00383B50" w:rsidRPr="00B566A6" w:rsidRDefault="00063F60" w:rsidP="000B37A4">
      <w:pPr>
        <w:pStyle w:val="Odsekzoznamu"/>
        <w:numPr>
          <w:ilvl w:val="0"/>
          <w:numId w:val="26"/>
        </w:numPr>
        <w:rPr>
          <w:rFonts w:ascii="Times New Roman" w:hAnsi="Times New Roman"/>
          <w:b/>
          <w:sz w:val="22"/>
        </w:rPr>
      </w:pPr>
      <w:bookmarkStart w:id="6" w:name="_Toc45873721"/>
      <w:r w:rsidRPr="00B566A6">
        <w:rPr>
          <w:rFonts w:ascii="Times New Roman" w:hAnsi="Times New Roman"/>
          <w:b/>
          <w:sz w:val="22"/>
        </w:rPr>
        <w:t>Nežiadú</w:t>
      </w:r>
      <w:r w:rsidR="00383B50" w:rsidRPr="00B566A6">
        <w:rPr>
          <w:rFonts w:ascii="Times New Roman" w:hAnsi="Times New Roman"/>
          <w:b/>
          <w:sz w:val="22"/>
        </w:rPr>
        <w:t>ci dopad</w:t>
      </w:r>
      <w:bookmarkEnd w:id="6"/>
      <w:r w:rsidR="00383B50" w:rsidRPr="00B566A6">
        <w:rPr>
          <w:rFonts w:ascii="Times New Roman" w:hAnsi="Times New Roman"/>
          <w:b/>
          <w:sz w:val="22"/>
        </w:rPr>
        <w:t xml:space="preserve"> </w:t>
      </w:r>
    </w:p>
    <w:p w14:paraId="2D399715" w14:textId="77E025F3" w:rsidR="00383B50" w:rsidRPr="00B566A6" w:rsidRDefault="00383B50" w:rsidP="00C3571B">
      <w:pPr>
        <w:pStyle w:val="BodyText1"/>
        <w:spacing w:line="276" w:lineRule="auto"/>
        <w:rPr>
          <w:rFonts w:ascii="Times New Roman" w:hAnsi="Times New Roman"/>
          <w:color w:val="auto"/>
          <w:sz w:val="22"/>
          <w:szCs w:val="22"/>
          <w:lang w:val="sk-SK"/>
        </w:rPr>
      </w:pPr>
      <w:r w:rsidRPr="00B566A6">
        <w:rPr>
          <w:rFonts w:ascii="Times New Roman" w:hAnsi="Times New Roman"/>
          <w:color w:val="auto"/>
          <w:sz w:val="22"/>
          <w:szCs w:val="22"/>
          <w:lang w:val="sk-SK"/>
        </w:rPr>
        <w:t xml:space="preserve">Výsledkom pôsobenia rizika je </w:t>
      </w:r>
      <w:r w:rsidR="00CB3404" w:rsidRPr="00B566A6">
        <w:rPr>
          <w:rFonts w:ascii="Times New Roman" w:hAnsi="Times New Roman"/>
          <w:color w:val="auto"/>
          <w:sz w:val="22"/>
          <w:szCs w:val="22"/>
          <w:lang w:val="sk-SK"/>
        </w:rPr>
        <w:t xml:space="preserve">nežiadúci </w:t>
      </w:r>
      <w:r w:rsidRPr="00B566A6">
        <w:rPr>
          <w:rFonts w:ascii="Times New Roman" w:hAnsi="Times New Roman"/>
          <w:color w:val="auto"/>
          <w:sz w:val="22"/>
          <w:szCs w:val="22"/>
          <w:lang w:val="sk-SK"/>
        </w:rPr>
        <w:t>dopad, ktorý spočíva napríklad v:</w:t>
      </w:r>
    </w:p>
    <w:p w14:paraId="2D399716" w14:textId="0019681E" w:rsidR="00383B50" w:rsidRPr="00B566A6" w:rsidRDefault="00383B50" w:rsidP="00825C44">
      <w:pPr>
        <w:pStyle w:val="BodyText1"/>
        <w:spacing w:before="0" w:after="0" w:line="276" w:lineRule="auto"/>
        <w:ind w:left="702" w:hanging="345"/>
        <w:rPr>
          <w:rFonts w:ascii="Times New Roman" w:hAnsi="Times New Roman"/>
          <w:color w:val="auto"/>
          <w:sz w:val="22"/>
          <w:szCs w:val="22"/>
          <w:lang w:val="sk-SK"/>
        </w:rPr>
      </w:pPr>
      <w:r w:rsidRPr="00B566A6">
        <w:rPr>
          <w:rFonts w:ascii="Times New Roman" w:hAnsi="Times New Roman"/>
          <w:color w:val="auto"/>
          <w:sz w:val="22"/>
          <w:szCs w:val="22"/>
          <w:lang w:val="sk-SK"/>
        </w:rPr>
        <w:t xml:space="preserve">– </w:t>
      </w:r>
      <w:r w:rsidR="00825C44" w:rsidRPr="00B566A6">
        <w:rPr>
          <w:rFonts w:ascii="Times New Roman" w:hAnsi="Times New Roman"/>
          <w:color w:val="auto"/>
          <w:sz w:val="22"/>
          <w:szCs w:val="22"/>
          <w:lang w:val="sk-SK"/>
        </w:rPr>
        <w:tab/>
      </w:r>
      <w:r w:rsidRPr="00B566A6">
        <w:rPr>
          <w:rFonts w:ascii="Times New Roman" w:hAnsi="Times New Roman"/>
          <w:color w:val="auto"/>
          <w:sz w:val="22"/>
          <w:szCs w:val="22"/>
          <w:lang w:val="sk-SK"/>
        </w:rPr>
        <w:t xml:space="preserve">ohrození alebo ujme na majetku a právach štátu alebo územného samosprávneho celku, </w:t>
      </w:r>
      <w:r w:rsidR="00825C44" w:rsidRPr="00B566A6">
        <w:rPr>
          <w:rFonts w:ascii="Times New Roman" w:hAnsi="Times New Roman"/>
          <w:color w:val="auto"/>
          <w:sz w:val="22"/>
          <w:szCs w:val="22"/>
          <w:lang w:val="sk-SK"/>
        </w:rPr>
        <w:t xml:space="preserve">   </w:t>
      </w:r>
      <w:r w:rsidRPr="00B566A6">
        <w:rPr>
          <w:rFonts w:ascii="Times New Roman" w:hAnsi="Times New Roman"/>
          <w:color w:val="auto"/>
          <w:sz w:val="22"/>
          <w:szCs w:val="22"/>
          <w:lang w:val="sk-SK"/>
        </w:rPr>
        <w:t>čerpaní alebo využívaní verejných prostriedkov nehospodárnym, neefektívnym, neúčinným alebo neúčelným spôsobom,</w:t>
      </w:r>
    </w:p>
    <w:p w14:paraId="2D399717" w14:textId="6BA270D0" w:rsidR="00383B50" w:rsidRPr="00B566A6" w:rsidRDefault="00383B50" w:rsidP="00825C44">
      <w:pPr>
        <w:pStyle w:val="BodyText1"/>
        <w:spacing w:before="0" w:after="0" w:line="276" w:lineRule="auto"/>
        <w:ind w:firstLine="357"/>
        <w:rPr>
          <w:rFonts w:ascii="Times New Roman" w:hAnsi="Times New Roman"/>
          <w:color w:val="auto"/>
          <w:sz w:val="22"/>
          <w:szCs w:val="22"/>
          <w:lang w:val="sk-SK"/>
        </w:rPr>
      </w:pPr>
      <w:r w:rsidRPr="00B566A6">
        <w:rPr>
          <w:rFonts w:ascii="Times New Roman" w:hAnsi="Times New Roman"/>
          <w:color w:val="auto"/>
          <w:sz w:val="22"/>
          <w:szCs w:val="22"/>
          <w:lang w:val="sk-SK"/>
        </w:rPr>
        <w:t xml:space="preserve">– </w:t>
      </w:r>
      <w:r w:rsidR="00825C44" w:rsidRPr="00B566A6">
        <w:rPr>
          <w:rFonts w:ascii="Times New Roman" w:hAnsi="Times New Roman"/>
          <w:color w:val="auto"/>
          <w:sz w:val="22"/>
          <w:szCs w:val="22"/>
          <w:lang w:val="sk-SK"/>
        </w:rPr>
        <w:tab/>
      </w:r>
      <w:r w:rsidRPr="00B566A6">
        <w:rPr>
          <w:rFonts w:ascii="Times New Roman" w:hAnsi="Times New Roman"/>
          <w:color w:val="auto"/>
          <w:sz w:val="22"/>
          <w:szCs w:val="22"/>
          <w:lang w:val="sk-SK"/>
        </w:rPr>
        <w:t>nedodržiavaní všeobecne platných právnych predpisov,</w:t>
      </w:r>
    </w:p>
    <w:p w14:paraId="2D399718" w14:textId="5B8017FB" w:rsidR="00383B50" w:rsidRPr="00B566A6" w:rsidRDefault="00383B50" w:rsidP="00825C44">
      <w:pPr>
        <w:pStyle w:val="BodyText1"/>
        <w:spacing w:before="0" w:after="0" w:line="276" w:lineRule="auto"/>
        <w:ind w:left="702" w:hanging="345"/>
        <w:rPr>
          <w:rFonts w:ascii="Times New Roman" w:hAnsi="Times New Roman"/>
          <w:color w:val="auto"/>
          <w:sz w:val="22"/>
          <w:szCs w:val="22"/>
          <w:lang w:val="sk-SK"/>
        </w:rPr>
      </w:pPr>
      <w:r w:rsidRPr="00B566A6">
        <w:rPr>
          <w:rFonts w:ascii="Times New Roman" w:hAnsi="Times New Roman"/>
          <w:color w:val="auto"/>
          <w:sz w:val="22"/>
          <w:szCs w:val="22"/>
          <w:lang w:val="sk-SK"/>
        </w:rPr>
        <w:t xml:space="preserve">– </w:t>
      </w:r>
      <w:r w:rsidR="00825C44" w:rsidRPr="00B566A6">
        <w:rPr>
          <w:rFonts w:ascii="Times New Roman" w:hAnsi="Times New Roman"/>
          <w:color w:val="auto"/>
          <w:sz w:val="22"/>
          <w:szCs w:val="22"/>
          <w:lang w:val="sk-SK"/>
        </w:rPr>
        <w:tab/>
      </w:r>
      <w:r w:rsidRPr="00B566A6">
        <w:rPr>
          <w:rFonts w:ascii="Times New Roman" w:hAnsi="Times New Roman"/>
          <w:color w:val="auto"/>
          <w:sz w:val="22"/>
          <w:szCs w:val="22"/>
          <w:lang w:val="sk-SK"/>
        </w:rPr>
        <w:t>narušení bezpečnosti informácií, ohrození bezpečnosti informácií a informačnej politiky,</w:t>
      </w:r>
    </w:p>
    <w:p w14:paraId="2D399719" w14:textId="0372357B" w:rsidR="00383B50" w:rsidRPr="00B566A6" w:rsidRDefault="00383B50" w:rsidP="00825C44">
      <w:pPr>
        <w:pStyle w:val="BodyText1"/>
        <w:spacing w:before="0" w:after="0" w:line="276" w:lineRule="auto"/>
        <w:ind w:firstLine="357"/>
        <w:rPr>
          <w:rFonts w:ascii="Times New Roman" w:hAnsi="Times New Roman"/>
          <w:color w:val="auto"/>
          <w:sz w:val="22"/>
          <w:szCs w:val="22"/>
          <w:lang w:val="sk-SK"/>
        </w:rPr>
      </w:pPr>
      <w:r w:rsidRPr="00B566A6">
        <w:rPr>
          <w:rFonts w:ascii="Times New Roman" w:hAnsi="Times New Roman"/>
          <w:color w:val="auto"/>
          <w:sz w:val="22"/>
          <w:szCs w:val="22"/>
          <w:lang w:val="sk-SK"/>
        </w:rPr>
        <w:t xml:space="preserve">– </w:t>
      </w:r>
      <w:r w:rsidR="00825C44" w:rsidRPr="00B566A6">
        <w:rPr>
          <w:rFonts w:ascii="Times New Roman" w:hAnsi="Times New Roman"/>
          <w:color w:val="auto"/>
          <w:sz w:val="22"/>
          <w:szCs w:val="22"/>
          <w:lang w:val="sk-SK"/>
        </w:rPr>
        <w:tab/>
      </w:r>
      <w:r w:rsidRPr="00B566A6">
        <w:rPr>
          <w:rFonts w:ascii="Times New Roman" w:hAnsi="Times New Roman"/>
          <w:color w:val="auto"/>
          <w:sz w:val="22"/>
          <w:szCs w:val="22"/>
          <w:lang w:val="sk-SK"/>
        </w:rPr>
        <w:t>časovom a vecnom neplnení úloh, ktoré ohrozujú plnenie stanovených cieľov,</w:t>
      </w:r>
    </w:p>
    <w:p w14:paraId="2D39971A" w14:textId="53808228" w:rsidR="00383B50" w:rsidRPr="00B566A6" w:rsidRDefault="00383B50" w:rsidP="00825C44">
      <w:pPr>
        <w:pStyle w:val="BodyText1"/>
        <w:spacing w:before="0" w:after="0" w:line="276" w:lineRule="auto"/>
        <w:ind w:firstLine="357"/>
        <w:rPr>
          <w:rFonts w:ascii="Times New Roman" w:hAnsi="Times New Roman"/>
          <w:color w:val="auto"/>
          <w:sz w:val="22"/>
          <w:szCs w:val="22"/>
          <w:lang w:val="sk-SK"/>
        </w:rPr>
      </w:pPr>
      <w:r w:rsidRPr="00B566A6">
        <w:rPr>
          <w:rFonts w:ascii="Times New Roman" w:hAnsi="Times New Roman"/>
          <w:color w:val="auto"/>
          <w:sz w:val="22"/>
          <w:szCs w:val="22"/>
          <w:lang w:val="sk-SK"/>
        </w:rPr>
        <w:t xml:space="preserve">– </w:t>
      </w:r>
      <w:r w:rsidR="00825C44" w:rsidRPr="00B566A6">
        <w:rPr>
          <w:rFonts w:ascii="Times New Roman" w:hAnsi="Times New Roman"/>
          <w:color w:val="auto"/>
          <w:sz w:val="22"/>
          <w:szCs w:val="22"/>
          <w:lang w:val="sk-SK"/>
        </w:rPr>
        <w:tab/>
      </w:r>
      <w:r w:rsidRPr="00B566A6">
        <w:rPr>
          <w:rFonts w:ascii="Times New Roman" w:hAnsi="Times New Roman"/>
          <w:color w:val="auto"/>
          <w:sz w:val="22"/>
          <w:szCs w:val="22"/>
          <w:lang w:val="sk-SK"/>
        </w:rPr>
        <w:t>výkone neefektívnych alebo neúčelových činností,</w:t>
      </w:r>
    </w:p>
    <w:p w14:paraId="2D39971B" w14:textId="2791AC2D" w:rsidR="00383B50" w:rsidRPr="00B566A6" w:rsidRDefault="00383B50" w:rsidP="00825C44">
      <w:pPr>
        <w:pStyle w:val="BodyText1"/>
        <w:spacing w:before="0" w:after="0" w:line="276" w:lineRule="auto"/>
        <w:ind w:firstLine="357"/>
        <w:rPr>
          <w:rFonts w:ascii="Times New Roman" w:hAnsi="Times New Roman"/>
          <w:color w:val="auto"/>
          <w:sz w:val="22"/>
          <w:szCs w:val="22"/>
          <w:lang w:val="sk-SK"/>
        </w:rPr>
      </w:pPr>
      <w:r w:rsidRPr="00B566A6">
        <w:rPr>
          <w:rFonts w:ascii="Times New Roman" w:hAnsi="Times New Roman"/>
          <w:color w:val="auto"/>
          <w:sz w:val="22"/>
          <w:szCs w:val="22"/>
          <w:lang w:val="sk-SK"/>
        </w:rPr>
        <w:t xml:space="preserve">– </w:t>
      </w:r>
      <w:r w:rsidR="00825C44" w:rsidRPr="00B566A6">
        <w:rPr>
          <w:rFonts w:ascii="Times New Roman" w:hAnsi="Times New Roman"/>
          <w:color w:val="auto"/>
          <w:sz w:val="22"/>
          <w:szCs w:val="22"/>
          <w:lang w:val="sk-SK"/>
        </w:rPr>
        <w:tab/>
      </w:r>
      <w:r w:rsidRPr="00B566A6">
        <w:rPr>
          <w:rFonts w:ascii="Times New Roman" w:hAnsi="Times New Roman"/>
          <w:color w:val="auto"/>
          <w:sz w:val="22"/>
          <w:szCs w:val="22"/>
          <w:lang w:val="sk-SK"/>
        </w:rPr>
        <w:t>nesplnení alebo predĺžení termínov splnenia stanovených úloh,</w:t>
      </w:r>
    </w:p>
    <w:p w14:paraId="2D39971C" w14:textId="443DF235" w:rsidR="00383B50" w:rsidRPr="00B566A6" w:rsidRDefault="00383B50" w:rsidP="00825C44">
      <w:pPr>
        <w:pStyle w:val="BodyText1"/>
        <w:spacing w:before="0" w:after="0" w:line="276" w:lineRule="auto"/>
        <w:ind w:firstLine="357"/>
        <w:rPr>
          <w:rFonts w:ascii="Times New Roman" w:hAnsi="Times New Roman"/>
          <w:color w:val="auto"/>
          <w:sz w:val="22"/>
          <w:szCs w:val="22"/>
          <w:lang w:val="sk-SK"/>
        </w:rPr>
      </w:pPr>
      <w:r w:rsidRPr="00B566A6">
        <w:rPr>
          <w:rFonts w:ascii="Times New Roman" w:hAnsi="Times New Roman"/>
          <w:color w:val="auto"/>
          <w:sz w:val="22"/>
          <w:szCs w:val="22"/>
          <w:lang w:val="sk-SK"/>
        </w:rPr>
        <w:t xml:space="preserve">– </w:t>
      </w:r>
      <w:r w:rsidR="00825C44" w:rsidRPr="00B566A6">
        <w:rPr>
          <w:rFonts w:ascii="Times New Roman" w:hAnsi="Times New Roman"/>
          <w:color w:val="auto"/>
          <w:sz w:val="22"/>
          <w:szCs w:val="22"/>
          <w:lang w:val="sk-SK"/>
        </w:rPr>
        <w:tab/>
      </w:r>
      <w:r w:rsidRPr="00B566A6">
        <w:rPr>
          <w:rFonts w:ascii="Times New Roman" w:hAnsi="Times New Roman"/>
          <w:color w:val="auto"/>
          <w:sz w:val="22"/>
          <w:szCs w:val="22"/>
          <w:lang w:val="sk-SK"/>
        </w:rPr>
        <w:t>nedodržaní požadovanej kvality,</w:t>
      </w:r>
    </w:p>
    <w:p w14:paraId="2D39971D" w14:textId="4FA279E6" w:rsidR="00383B50" w:rsidRPr="00B566A6" w:rsidRDefault="00383B50" w:rsidP="00825C44">
      <w:pPr>
        <w:pStyle w:val="BodyText1"/>
        <w:spacing w:before="0" w:after="0" w:line="276" w:lineRule="auto"/>
        <w:ind w:firstLine="357"/>
        <w:rPr>
          <w:rFonts w:ascii="Times New Roman" w:hAnsi="Times New Roman"/>
          <w:color w:val="auto"/>
          <w:sz w:val="22"/>
          <w:szCs w:val="22"/>
          <w:lang w:val="sk-SK"/>
        </w:rPr>
      </w:pPr>
      <w:r w:rsidRPr="00B566A6">
        <w:rPr>
          <w:rFonts w:ascii="Times New Roman" w:hAnsi="Times New Roman"/>
          <w:color w:val="auto"/>
          <w:sz w:val="22"/>
          <w:szCs w:val="22"/>
          <w:lang w:val="sk-SK"/>
        </w:rPr>
        <w:t xml:space="preserve">– </w:t>
      </w:r>
      <w:r w:rsidR="00825C44" w:rsidRPr="00B566A6">
        <w:rPr>
          <w:rFonts w:ascii="Times New Roman" w:hAnsi="Times New Roman"/>
          <w:color w:val="auto"/>
          <w:sz w:val="22"/>
          <w:szCs w:val="22"/>
          <w:lang w:val="sk-SK"/>
        </w:rPr>
        <w:tab/>
      </w:r>
      <w:r w:rsidRPr="00B566A6">
        <w:rPr>
          <w:rFonts w:ascii="Times New Roman" w:hAnsi="Times New Roman"/>
          <w:color w:val="auto"/>
          <w:sz w:val="22"/>
          <w:szCs w:val="22"/>
          <w:lang w:val="sk-SK"/>
        </w:rPr>
        <w:t>poškodení povesti orgánu verejnej správy, atď.</w:t>
      </w:r>
    </w:p>
    <w:p w14:paraId="2D39971E" w14:textId="77777777" w:rsidR="00383B50" w:rsidRPr="003C15BA" w:rsidRDefault="00383B50" w:rsidP="000B37A4">
      <w:pPr>
        <w:pStyle w:val="Odsekzoznamu"/>
        <w:numPr>
          <w:ilvl w:val="0"/>
          <w:numId w:val="26"/>
        </w:numPr>
        <w:spacing w:before="240" w:line="276" w:lineRule="auto"/>
        <w:rPr>
          <w:rFonts w:ascii="Times New Roman" w:hAnsi="Times New Roman"/>
          <w:b/>
          <w:sz w:val="22"/>
        </w:rPr>
      </w:pPr>
      <w:bookmarkStart w:id="7" w:name="_Toc45873722"/>
      <w:r w:rsidRPr="003C15BA">
        <w:rPr>
          <w:rFonts w:ascii="Times New Roman" w:hAnsi="Times New Roman"/>
          <w:b/>
          <w:sz w:val="22"/>
        </w:rPr>
        <w:t>Analýza rizík</w:t>
      </w:r>
      <w:bookmarkEnd w:id="7"/>
    </w:p>
    <w:p w14:paraId="2D39971F" w14:textId="31878C07" w:rsidR="00383B50" w:rsidRPr="00B226A4" w:rsidRDefault="00383B50" w:rsidP="00C3571B">
      <w:pPr>
        <w:pStyle w:val="BodyText1"/>
        <w:spacing w:line="276" w:lineRule="auto"/>
        <w:rPr>
          <w:rFonts w:ascii="Times New Roman" w:hAnsi="Times New Roman"/>
          <w:color w:val="auto"/>
          <w:sz w:val="22"/>
          <w:szCs w:val="22"/>
          <w:lang w:val="sk-SK"/>
        </w:rPr>
      </w:pPr>
      <w:r w:rsidRPr="003A3891">
        <w:rPr>
          <w:rFonts w:ascii="Times New Roman" w:hAnsi="Times New Roman"/>
          <w:color w:val="auto"/>
          <w:sz w:val="22"/>
          <w:szCs w:val="22"/>
          <w:lang w:val="sk-SK"/>
        </w:rPr>
        <w:t>Analýza rizík je špecifická metóda, podľa ktorej sa v orgáne verejnej správy identifikujú, vyhodnocujú a riadia riziká tak, že na základe vopred stanovených pravidiel sa o nich permanentne podávajú informácie príslušnej úrovni riadenia, ktorá prijíma adekvátne rozhodnutia. Analýza rizika je teda súčasťou riadenia rizík</w:t>
      </w:r>
      <w:r w:rsidR="00CB3404" w:rsidRPr="00753DD8">
        <w:rPr>
          <w:rFonts w:ascii="Times New Roman" w:hAnsi="Times New Roman"/>
          <w:color w:val="auto"/>
          <w:sz w:val="22"/>
          <w:szCs w:val="22"/>
          <w:lang w:val="sk-SK"/>
        </w:rPr>
        <w:t>,</w:t>
      </w:r>
      <w:r w:rsidRPr="00753DD8">
        <w:rPr>
          <w:rFonts w:ascii="Times New Roman" w:hAnsi="Times New Roman"/>
          <w:color w:val="auto"/>
          <w:sz w:val="22"/>
          <w:szCs w:val="22"/>
          <w:lang w:val="sk-SK"/>
        </w:rPr>
        <w:t xml:space="preserve"> ktoré spočíva v systematickom postupe, v ktorom sú riziká včas rozpoznávané, vyhodnocované a sú poskytované potrebné informácie na prijatie rozhodnutia o tom, ako zvládnuť </w:t>
      </w:r>
      <w:r w:rsidRPr="00B226A4">
        <w:rPr>
          <w:rFonts w:ascii="Times New Roman" w:hAnsi="Times New Roman"/>
          <w:color w:val="auto"/>
          <w:sz w:val="22"/>
          <w:szCs w:val="22"/>
          <w:lang w:val="sk-SK"/>
        </w:rPr>
        <w:t>predpokladané nežiadúce dopady.</w:t>
      </w:r>
    </w:p>
    <w:p w14:paraId="2D399720" w14:textId="77777777" w:rsidR="00383B50" w:rsidRPr="00B226A4" w:rsidRDefault="00383B50" w:rsidP="000B37A4">
      <w:pPr>
        <w:pStyle w:val="Odsekzoznamu"/>
        <w:numPr>
          <w:ilvl w:val="0"/>
          <w:numId w:val="26"/>
        </w:numPr>
        <w:rPr>
          <w:rFonts w:ascii="Times New Roman" w:hAnsi="Times New Roman"/>
          <w:b/>
          <w:sz w:val="22"/>
        </w:rPr>
      </w:pPr>
      <w:bookmarkStart w:id="8" w:name="_Toc45873723"/>
      <w:r w:rsidRPr="00B226A4">
        <w:rPr>
          <w:rFonts w:ascii="Times New Roman" w:hAnsi="Times New Roman"/>
          <w:b/>
          <w:sz w:val="22"/>
        </w:rPr>
        <w:t>Zvládanie rizík</w:t>
      </w:r>
      <w:bookmarkEnd w:id="8"/>
    </w:p>
    <w:p w14:paraId="2D399721" w14:textId="77777777" w:rsidR="00383B50" w:rsidRPr="00B226A4" w:rsidRDefault="00383B50" w:rsidP="00C3571B">
      <w:pPr>
        <w:pStyle w:val="BodyText1"/>
        <w:spacing w:line="276" w:lineRule="auto"/>
        <w:rPr>
          <w:rFonts w:ascii="Times New Roman" w:hAnsi="Times New Roman"/>
          <w:color w:val="auto"/>
          <w:sz w:val="22"/>
          <w:szCs w:val="22"/>
          <w:lang w:val="sk-SK"/>
        </w:rPr>
      </w:pPr>
      <w:r w:rsidRPr="00B226A4">
        <w:rPr>
          <w:rFonts w:ascii="Times New Roman" w:hAnsi="Times New Roman"/>
          <w:color w:val="auto"/>
          <w:sz w:val="22"/>
          <w:szCs w:val="22"/>
          <w:lang w:val="sk-SK"/>
        </w:rPr>
        <w:t>Zvládanie rizík je súbor opatrení prijatých orgánom verejnej správy pre minimalizáciu vzniku alebo zníženie nežiadúcich dopadov rizík.</w:t>
      </w:r>
    </w:p>
    <w:p w14:paraId="2D399722" w14:textId="77777777" w:rsidR="00383B50" w:rsidRPr="00B226A4" w:rsidRDefault="00383B50" w:rsidP="000B37A4">
      <w:pPr>
        <w:pStyle w:val="Odsekzoznamu"/>
        <w:numPr>
          <w:ilvl w:val="0"/>
          <w:numId w:val="26"/>
        </w:numPr>
        <w:rPr>
          <w:rFonts w:ascii="Times New Roman" w:hAnsi="Times New Roman"/>
          <w:b/>
          <w:sz w:val="22"/>
        </w:rPr>
      </w:pPr>
      <w:bookmarkStart w:id="9" w:name="_Toc45873724"/>
      <w:r w:rsidRPr="00B226A4">
        <w:rPr>
          <w:rFonts w:ascii="Times New Roman" w:hAnsi="Times New Roman"/>
          <w:b/>
          <w:sz w:val="22"/>
        </w:rPr>
        <w:t>Riadenie rizík</w:t>
      </w:r>
      <w:bookmarkEnd w:id="9"/>
    </w:p>
    <w:p w14:paraId="2D399723" w14:textId="77777777" w:rsidR="00383B50" w:rsidRPr="00B226A4" w:rsidRDefault="00383B50" w:rsidP="00C3571B">
      <w:pPr>
        <w:pStyle w:val="BodyText1"/>
        <w:spacing w:line="276" w:lineRule="auto"/>
        <w:rPr>
          <w:rFonts w:ascii="Times New Roman" w:hAnsi="Times New Roman"/>
          <w:color w:val="auto"/>
          <w:sz w:val="22"/>
          <w:szCs w:val="22"/>
          <w:lang w:val="sk-SK"/>
        </w:rPr>
      </w:pPr>
      <w:r w:rsidRPr="00450DEB">
        <w:rPr>
          <w:rFonts w:ascii="Times New Roman" w:hAnsi="Times New Roman"/>
          <w:b/>
          <w:color w:val="auto"/>
          <w:sz w:val="22"/>
          <w:szCs w:val="22"/>
          <w:lang w:val="sk-SK"/>
        </w:rPr>
        <w:t>Riadenie rizík</w:t>
      </w:r>
      <w:r w:rsidRPr="00B226A4">
        <w:rPr>
          <w:rFonts w:ascii="Times New Roman" w:hAnsi="Times New Roman"/>
          <w:color w:val="auto"/>
          <w:sz w:val="22"/>
          <w:szCs w:val="22"/>
          <w:lang w:val="sk-SK"/>
        </w:rPr>
        <w:t xml:space="preserve"> je ústrednou časťou strategického riadenia a je definované ako identifikácia, analýza a ekonomické ovládanie rizík, ktoré môžu ohroziť dosahovanie cieľov organizácie, jej aktíva alebo zdroje. Zaoberá sa kladnými, ale aj zápornými stránkami rizika. Pomáha pochopiť potenciálne pozitíva a negatíva všetkých tých faktorov, ktoré môžu mať vplyv na organizáciu. Zvyšuje pravdepodobnosť úspechu a znižuje pravdepodobnosť zlyhania, ako aj neistoty dosiahnutia celkových cieľov organizácie. Je to trvalý a vyvíjajúci sa proces, ktorý preniká celou stratégiou organizácie. Metodicky analyzuje všetky riziká súvisiace s činnosťami organizácie v minulosti, a v súčasnosti pre ich minimalizovanie v budúcnosti. </w:t>
      </w:r>
    </w:p>
    <w:p w14:paraId="2D399724" w14:textId="77777777" w:rsidR="00383B50" w:rsidRPr="007D6208" w:rsidRDefault="00383B50" w:rsidP="00C3571B">
      <w:pPr>
        <w:pStyle w:val="BodyText1"/>
        <w:spacing w:line="276" w:lineRule="auto"/>
        <w:rPr>
          <w:rFonts w:ascii="Times New Roman" w:hAnsi="Times New Roman"/>
          <w:color w:val="auto"/>
          <w:sz w:val="22"/>
          <w:szCs w:val="22"/>
          <w:lang w:val="sk-SK"/>
        </w:rPr>
      </w:pPr>
      <w:r w:rsidRPr="00B226A4">
        <w:rPr>
          <w:rFonts w:ascii="Times New Roman" w:hAnsi="Times New Roman"/>
          <w:color w:val="auto"/>
          <w:sz w:val="22"/>
          <w:szCs w:val="22"/>
          <w:lang w:val="sk-SK"/>
        </w:rPr>
        <w:lastRenderedPageBreak/>
        <w:t xml:space="preserve">Riadenie rizík sa integruje do prostredia organizácie prostredníctvom účinného systému riadenia. Jeho stratégia sa transformuje do taktických a prevádzkových cieľov, pričom priraďuje zodpovednosť každému vedúcemu zamestnancovi ako súčasť jeho pracovnej náplne. Podporuje povinnosť skladať účty, merať výkonnosť a primerane odmeňovať, čím podporuje efektivitu práce na všetkých úrovniach. Riadenie rizík je nepretržitá cieľavedomá systematická a plánovaná analytická činnosť (proces) organizovaná a riadená vedúcimi zamestnancami orgánu verejnej správy v oblasti jeho vnútorného kontrolného systému, finančného riadenia a iných činností, ktorá je schopná včas a efektívne odhaľovať, identifikovať, hodnotiť, minimalizovať alebo eliminovať existujúce alebo vznikajúce riziká v súvislosti s </w:t>
      </w:r>
      <w:r w:rsidRPr="007D6208">
        <w:rPr>
          <w:rFonts w:ascii="Times New Roman" w:hAnsi="Times New Roman"/>
          <w:color w:val="auto"/>
          <w:sz w:val="22"/>
          <w:szCs w:val="22"/>
          <w:lang w:val="sk-SK"/>
        </w:rPr>
        <w:t>plnením stanovených cieľov a úloh.</w:t>
      </w:r>
    </w:p>
    <w:p w14:paraId="2D399725" w14:textId="77777777" w:rsidR="00383B50" w:rsidRPr="007D6208" w:rsidRDefault="00383B50" w:rsidP="00C3571B">
      <w:pPr>
        <w:pStyle w:val="BodyText1"/>
        <w:spacing w:line="276" w:lineRule="auto"/>
        <w:rPr>
          <w:rFonts w:ascii="Times New Roman" w:hAnsi="Times New Roman"/>
          <w:color w:val="auto"/>
          <w:sz w:val="22"/>
          <w:szCs w:val="22"/>
          <w:lang w:val="sk-SK"/>
        </w:rPr>
      </w:pPr>
      <w:r w:rsidRPr="00450DEB">
        <w:rPr>
          <w:rFonts w:ascii="Times New Roman" w:hAnsi="Times New Roman"/>
          <w:b/>
          <w:color w:val="auto"/>
          <w:sz w:val="22"/>
          <w:szCs w:val="22"/>
          <w:lang w:val="sk-SK"/>
        </w:rPr>
        <w:t>Riadenie rizík</w:t>
      </w:r>
      <w:r w:rsidRPr="007D6208">
        <w:rPr>
          <w:rFonts w:ascii="Times New Roman" w:hAnsi="Times New Roman"/>
          <w:color w:val="auto"/>
          <w:sz w:val="22"/>
          <w:szCs w:val="22"/>
          <w:lang w:val="sk-SK"/>
        </w:rPr>
        <w:t xml:space="preserve"> je rýchlo sa rozvíjajúca činnosť, kde kľúčovými </w:t>
      </w:r>
      <w:r w:rsidRPr="00450DEB">
        <w:rPr>
          <w:rFonts w:ascii="Times New Roman" w:hAnsi="Times New Roman"/>
          <w:b/>
          <w:color w:val="auto"/>
          <w:sz w:val="22"/>
          <w:szCs w:val="22"/>
          <w:lang w:val="sk-SK"/>
        </w:rPr>
        <w:t>prvkami sú</w:t>
      </w:r>
      <w:r w:rsidRPr="007D6208">
        <w:rPr>
          <w:rFonts w:ascii="Times New Roman" w:hAnsi="Times New Roman"/>
          <w:color w:val="auto"/>
          <w:sz w:val="22"/>
          <w:szCs w:val="22"/>
          <w:lang w:val="sk-SK"/>
        </w:rPr>
        <w:t>:</w:t>
      </w:r>
    </w:p>
    <w:p w14:paraId="2D399726" w14:textId="463506E4" w:rsidR="00383B50" w:rsidRPr="00393BE5" w:rsidRDefault="00383B50" w:rsidP="00825C44">
      <w:pPr>
        <w:pStyle w:val="BodyText1"/>
        <w:numPr>
          <w:ilvl w:val="0"/>
          <w:numId w:val="27"/>
        </w:numPr>
        <w:spacing w:before="0" w:after="0" w:line="276" w:lineRule="auto"/>
        <w:rPr>
          <w:rFonts w:ascii="Times New Roman" w:hAnsi="Times New Roman"/>
          <w:color w:val="auto"/>
          <w:sz w:val="22"/>
          <w:szCs w:val="22"/>
          <w:lang w:val="sk-SK"/>
        </w:rPr>
      </w:pPr>
      <w:r w:rsidRPr="00393BE5">
        <w:rPr>
          <w:rFonts w:ascii="Times New Roman" w:hAnsi="Times New Roman"/>
          <w:color w:val="auto"/>
          <w:sz w:val="22"/>
          <w:szCs w:val="22"/>
          <w:lang w:val="sk-SK"/>
        </w:rPr>
        <w:t>primerané a zrozumiteľné formulovanie úloh a noriem pre riadenie rizík zo strany vedúceho orgánu verejnej správy,</w:t>
      </w:r>
    </w:p>
    <w:p w14:paraId="2D399727" w14:textId="13E38BBA" w:rsidR="00383B50" w:rsidRPr="00393BE5" w:rsidRDefault="00383B50" w:rsidP="00825C44">
      <w:pPr>
        <w:pStyle w:val="BodyText1"/>
        <w:spacing w:before="0" w:after="0" w:line="276" w:lineRule="auto"/>
        <w:ind w:left="702" w:hanging="345"/>
        <w:rPr>
          <w:rFonts w:ascii="Times New Roman" w:hAnsi="Times New Roman"/>
          <w:color w:val="auto"/>
          <w:sz w:val="22"/>
          <w:szCs w:val="22"/>
          <w:lang w:val="sk-SK"/>
        </w:rPr>
      </w:pPr>
      <w:r w:rsidRPr="00393BE5">
        <w:rPr>
          <w:rFonts w:ascii="Times New Roman" w:hAnsi="Times New Roman"/>
          <w:color w:val="auto"/>
          <w:sz w:val="22"/>
          <w:szCs w:val="22"/>
          <w:lang w:val="sk-SK"/>
        </w:rPr>
        <w:t xml:space="preserve">– </w:t>
      </w:r>
      <w:r w:rsidR="00825C44" w:rsidRPr="00393BE5">
        <w:rPr>
          <w:rFonts w:ascii="Times New Roman" w:hAnsi="Times New Roman"/>
          <w:color w:val="auto"/>
          <w:sz w:val="22"/>
          <w:szCs w:val="22"/>
          <w:lang w:val="sk-SK"/>
        </w:rPr>
        <w:tab/>
      </w:r>
      <w:r w:rsidRPr="00393BE5">
        <w:rPr>
          <w:rFonts w:ascii="Times New Roman" w:hAnsi="Times New Roman"/>
          <w:color w:val="auto"/>
          <w:sz w:val="22"/>
          <w:szCs w:val="22"/>
          <w:lang w:val="sk-SK"/>
        </w:rPr>
        <w:t>vytvorenie podmienok pre permanentnú diskusiu a výmenu informácií vo vnútri orgánu verejnej správy,</w:t>
      </w:r>
    </w:p>
    <w:p w14:paraId="2D399729" w14:textId="373B0166" w:rsidR="00383B50" w:rsidRPr="00393BE5" w:rsidRDefault="00383B50" w:rsidP="00825C44">
      <w:pPr>
        <w:pStyle w:val="BodyText1"/>
        <w:spacing w:before="0" w:after="0" w:line="276" w:lineRule="auto"/>
        <w:ind w:left="702" w:hanging="345"/>
        <w:rPr>
          <w:rFonts w:ascii="Times New Roman" w:hAnsi="Times New Roman"/>
          <w:color w:val="auto"/>
          <w:sz w:val="22"/>
          <w:szCs w:val="22"/>
          <w:lang w:val="sk-SK"/>
        </w:rPr>
      </w:pPr>
      <w:r w:rsidRPr="00393BE5">
        <w:rPr>
          <w:rFonts w:ascii="Times New Roman" w:hAnsi="Times New Roman"/>
          <w:color w:val="auto"/>
          <w:sz w:val="22"/>
          <w:szCs w:val="22"/>
          <w:lang w:val="sk-SK"/>
        </w:rPr>
        <w:t xml:space="preserve">– </w:t>
      </w:r>
      <w:r w:rsidR="00825C44" w:rsidRPr="00393BE5">
        <w:rPr>
          <w:rFonts w:ascii="Times New Roman" w:hAnsi="Times New Roman"/>
          <w:color w:val="auto"/>
          <w:sz w:val="22"/>
          <w:szCs w:val="22"/>
          <w:lang w:val="sk-SK"/>
        </w:rPr>
        <w:tab/>
      </w:r>
      <w:r w:rsidRPr="00393BE5">
        <w:rPr>
          <w:rFonts w:ascii="Times New Roman" w:hAnsi="Times New Roman"/>
          <w:color w:val="auto"/>
          <w:sz w:val="22"/>
          <w:szCs w:val="22"/>
          <w:lang w:val="sk-SK"/>
        </w:rPr>
        <w:t>pridelenie vlastníctva rizika, t. j. jednoznačné a konkrétne určenie zodpovednosti za proces analýzy</w:t>
      </w:r>
      <w:r w:rsidR="00825C44" w:rsidRPr="00393BE5">
        <w:rPr>
          <w:rFonts w:ascii="Times New Roman" w:hAnsi="Times New Roman"/>
          <w:color w:val="auto"/>
          <w:sz w:val="22"/>
          <w:szCs w:val="22"/>
          <w:lang w:val="sk-SK"/>
        </w:rPr>
        <w:t xml:space="preserve"> </w:t>
      </w:r>
      <w:r w:rsidRPr="00393BE5">
        <w:rPr>
          <w:rFonts w:ascii="Times New Roman" w:hAnsi="Times New Roman"/>
          <w:color w:val="auto"/>
          <w:sz w:val="22"/>
          <w:szCs w:val="22"/>
          <w:lang w:val="sk-SK"/>
        </w:rPr>
        <w:t>rizík a vymedzenie právomoci pre ich riadenie,</w:t>
      </w:r>
    </w:p>
    <w:p w14:paraId="2D39972B" w14:textId="71260E71" w:rsidR="00383B50" w:rsidRPr="00393BE5" w:rsidRDefault="00383B50" w:rsidP="00825C44">
      <w:pPr>
        <w:pStyle w:val="BodyText1"/>
        <w:spacing w:before="0" w:after="0" w:line="276" w:lineRule="auto"/>
        <w:ind w:left="702" w:hanging="345"/>
        <w:rPr>
          <w:rFonts w:ascii="Times New Roman" w:hAnsi="Times New Roman"/>
          <w:color w:val="auto"/>
          <w:sz w:val="22"/>
          <w:szCs w:val="22"/>
          <w:lang w:val="sk-SK"/>
        </w:rPr>
      </w:pPr>
      <w:r w:rsidRPr="00393BE5">
        <w:rPr>
          <w:rFonts w:ascii="Times New Roman" w:hAnsi="Times New Roman"/>
          <w:color w:val="auto"/>
          <w:sz w:val="22"/>
          <w:szCs w:val="22"/>
          <w:lang w:val="sk-SK"/>
        </w:rPr>
        <w:t xml:space="preserve">– </w:t>
      </w:r>
      <w:r w:rsidR="00825C44" w:rsidRPr="00393BE5">
        <w:rPr>
          <w:rFonts w:ascii="Times New Roman" w:hAnsi="Times New Roman"/>
          <w:color w:val="auto"/>
          <w:sz w:val="22"/>
          <w:szCs w:val="22"/>
          <w:lang w:val="sk-SK"/>
        </w:rPr>
        <w:tab/>
      </w:r>
      <w:r w:rsidRPr="00393BE5">
        <w:rPr>
          <w:rFonts w:ascii="Times New Roman" w:hAnsi="Times New Roman"/>
          <w:color w:val="auto"/>
          <w:sz w:val="22"/>
          <w:szCs w:val="22"/>
          <w:lang w:val="sk-SK"/>
        </w:rPr>
        <w:t>prijatie adekvátnych postupov a opatrení pre ich sledovanie a hodnotenie v rámci celého systému</w:t>
      </w:r>
      <w:r w:rsidR="00825C44" w:rsidRPr="00393BE5">
        <w:rPr>
          <w:rFonts w:ascii="Times New Roman" w:hAnsi="Times New Roman"/>
          <w:color w:val="auto"/>
          <w:sz w:val="22"/>
          <w:szCs w:val="22"/>
          <w:lang w:val="sk-SK"/>
        </w:rPr>
        <w:t xml:space="preserve"> </w:t>
      </w:r>
      <w:r w:rsidRPr="00393BE5">
        <w:rPr>
          <w:rFonts w:ascii="Times New Roman" w:hAnsi="Times New Roman"/>
          <w:color w:val="auto"/>
          <w:sz w:val="22"/>
          <w:szCs w:val="22"/>
          <w:lang w:val="sk-SK"/>
        </w:rPr>
        <w:t>riadenia,</w:t>
      </w:r>
    </w:p>
    <w:p w14:paraId="2D39972D" w14:textId="3128924D" w:rsidR="00383B50" w:rsidRPr="00393BE5" w:rsidRDefault="00383B50" w:rsidP="00C3571B">
      <w:pPr>
        <w:pStyle w:val="BodyText1"/>
        <w:numPr>
          <w:ilvl w:val="0"/>
          <w:numId w:val="27"/>
        </w:numPr>
        <w:spacing w:before="0" w:after="0" w:line="276" w:lineRule="auto"/>
        <w:rPr>
          <w:rFonts w:ascii="Times New Roman" w:hAnsi="Times New Roman"/>
          <w:color w:val="auto"/>
          <w:sz w:val="22"/>
          <w:szCs w:val="22"/>
          <w:lang w:val="sk-SK"/>
        </w:rPr>
      </w:pPr>
      <w:r w:rsidRPr="00393BE5">
        <w:rPr>
          <w:rFonts w:ascii="Times New Roman" w:hAnsi="Times New Roman"/>
          <w:color w:val="auto"/>
          <w:sz w:val="22"/>
          <w:szCs w:val="22"/>
          <w:lang w:val="sk-SK"/>
        </w:rPr>
        <w:t>vytvorenie primeraného mechanizmu tak, aby sa na procese riadenia rizík aktívne podieľali všetci</w:t>
      </w:r>
      <w:r w:rsidR="00825C44" w:rsidRPr="00393BE5">
        <w:rPr>
          <w:rFonts w:ascii="Times New Roman" w:hAnsi="Times New Roman"/>
          <w:color w:val="auto"/>
          <w:sz w:val="22"/>
          <w:szCs w:val="22"/>
          <w:lang w:val="sk-SK"/>
        </w:rPr>
        <w:t xml:space="preserve"> </w:t>
      </w:r>
      <w:r w:rsidRPr="00393BE5">
        <w:rPr>
          <w:rFonts w:ascii="Times New Roman" w:hAnsi="Times New Roman"/>
          <w:color w:val="auto"/>
          <w:sz w:val="22"/>
          <w:szCs w:val="22"/>
          <w:lang w:val="sk-SK"/>
        </w:rPr>
        <w:t>zamestnanci orgánu verejnej správy.</w:t>
      </w:r>
    </w:p>
    <w:p w14:paraId="2D39972E" w14:textId="77777777" w:rsidR="00383B50" w:rsidRPr="00393BE5" w:rsidRDefault="00383B50" w:rsidP="00C3571B">
      <w:pPr>
        <w:pStyle w:val="BodyText1"/>
        <w:spacing w:line="276" w:lineRule="auto"/>
        <w:rPr>
          <w:rFonts w:ascii="Times New Roman" w:hAnsi="Times New Roman"/>
          <w:color w:val="auto"/>
          <w:sz w:val="22"/>
          <w:szCs w:val="22"/>
          <w:lang w:val="sk-SK"/>
        </w:rPr>
      </w:pPr>
      <w:r w:rsidRPr="00450DEB">
        <w:rPr>
          <w:rFonts w:ascii="Times New Roman" w:hAnsi="Times New Roman"/>
          <w:b/>
          <w:color w:val="auto"/>
          <w:sz w:val="22"/>
          <w:szCs w:val="22"/>
          <w:lang w:val="sk-SK"/>
        </w:rPr>
        <w:t>Hlavné výhody riadenia rizík</w:t>
      </w:r>
      <w:r w:rsidRPr="00393BE5">
        <w:rPr>
          <w:rFonts w:ascii="Times New Roman" w:hAnsi="Times New Roman"/>
          <w:color w:val="auto"/>
          <w:sz w:val="22"/>
          <w:szCs w:val="22"/>
          <w:lang w:val="sk-SK"/>
        </w:rPr>
        <w:t xml:space="preserve"> spočívajú v:</w:t>
      </w:r>
    </w:p>
    <w:p w14:paraId="2D39972F" w14:textId="44484245" w:rsidR="00383B50" w:rsidRPr="00393BE5" w:rsidRDefault="00383B50" w:rsidP="00825C44">
      <w:pPr>
        <w:pStyle w:val="BodyText1"/>
        <w:spacing w:before="0" w:after="0" w:line="276" w:lineRule="auto"/>
        <w:ind w:left="357"/>
        <w:rPr>
          <w:rFonts w:ascii="Times New Roman" w:hAnsi="Times New Roman"/>
          <w:color w:val="auto"/>
          <w:sz w:val="22"/>
          <w:szCs w:val="22"/>
          <w:lang w:val="sk-SK"/>
        </w:rPr>
      </w:pPr>
      <w:r w:rsidRPr="00393BE5">
        <w:rPr>
          <w:rFonts w:ascii="Times New Roman" w:hAnsi="Times New Roman"/>
          <w:color w:val="auto"/>
          <w:sz w:val="22"/>
          <w:szCs w:val="22"/>
          <w:lang w:val="sk-SK"/>
        </w:rPr>
        <w:t xml:space="preserve">– </w:t>
      </w:r>
      <w:r w:rsidR="00825C44" w:rsidRPr="00393BE5">
        <w:rPr>
          <w:rFonts w:ascii="Times New Roman" w:hAnsi="Times New Roman"/>
          <w:color w:val="auto"/>
          <w:sz w:val="22"/>
          <w:szCs w:val="22"/>
          <w:lang w:val="sk-SK"/>
        </w:rPr>
        <w:tab/>
      </w:r>
      <w:r w:rsidRPr="00393BE5">
        <w:rPr>
          <w:rFonts w:ascii="Times New Roman" w:hAnsi="Times New Roman"/>
          <w:color w:val="auto"/>
          <w:sz w:val="22"/>
          <w:szCs w:val="22"/>
          <w:lang w:val="sk-SK"/>
        </w:rPr>
        <w:t>skvalitnení rozhodovania v orgáne verejnej správy, a to na všetkých stupňoch,</w:t>
      </w:r>
    </w:p>
    <w:p w14:paraId="2D399730" w14:textId="3E0927F2" w:rsidR="00383B50" w:rsidRPr="00393BE5" w:rsidRDefault="00383B50" w:rsidP="00825C44">
      <w:pPr>
        <w:pStyle w:val="BodyText1"/>
        <w:spacing w:before="0" w:after="0" w:line="276" w:lineRule="auto"/>
        <w:ind w:firstLine="357"/>
        <w:rPr>
          <w:rFonts w:ascii="Times New Roman" w:hAnsi="Times New Roman"/>
          <w:color w:val="auto"/>
          <w:sz w:val="22"/>
          <w:szCs w:val="22"/>
          <w:lang w:val="sk-SK"/>
        </w:rPr>
      </w:pPr>
      <w:r w:rsidRPr="00393BE5">
        <w:rPr>
          <w:rFonts w:ascii="Times New Roman" w:hAnsi="Times New Roman"/>
          <w:color w:val="auto"/>
          <w:sz w:val="22"/>
          <w:szCs w:val="22"/>
          <w:lang w:val="sk-SK"/>
        </w:rPr>
        <w:t xml:space="preserve">– </w:t>
      </w:r>
      <w:r w:rsidR="00825C44" w:rsidRPr="00393BE5">
        <w:rPr>
          <w:rFonts w:ascii="Times New Roman" w:hAnsi="Times New Roman"/>
          <w:color w:val="auto"/>
          <w:sz w:val="22"/>
          <w:szCs w:val="22"/>
          <w:lang w:val="sk-SK"/>
        </w:rPr>
        <w:tab/>
      </w:r>
      <w:r w:rsidRPr="00393BE5">
        <w:rPr>
          <w:rFonts w:ascii="Times New Roman" w:hAnsi="Times New Roman"/>
          <w:color w:val="auto"/>
          <w:sz w:val="22"/>
          <w:szCs w:val="22"/>
          <w:lang w:val="sk-SK"/>
        </w:rPr>
        <w:t>vytváraní prostredia vedomého akceptovania rizík na báze informovanosti,</w:t>
      </w:r>
    </w:p>
    <w:p w14:paraId="2D399731" w14:textId="4C4BD914" w:rsidR="00383B50" w:rsidRPr="00393BE5" w:rsidRDefault="00383B50" w:rsidP="00825C44">
      <w:pPr>
        <w:pStyle w:val="BodyText1"/>
        <w:spacing w:before="0" w:after="0" w:line="276" w:lineRule="auto"/>
        <w:ind w:left="702" w:hanging="345"/>
        <w:rPr>
          <w:rFonts w:ascii="Times New Roman" w:hAnsi="Times New Roman"/>
          <w:color w:val="auto"/>
          <w:sz w:val="22"/>
          <w:szCs w:val="22"/>
          <w:lang w:val="sk-SK"/>
        </w:rPr>
      </w:pPr>
      <w:r w:rsidRPr="00393BE5">
        <w:rPr>
          <w:rFonts w:ascii="Times New Roman" w:hAnsi="Times New Roman"/>
          <w:color w:val="auto"/>
          <w:sz w:val="22"/>
          <w:szCs w:val="22"/>
          <w:lang w:val="sk-SK"/>
        </w:rPr>
        <w:t xml:space="preserve">– </w:t>
      </w:r>
      <w:r w:rsidR="00825C44" w:rsidRPr="00393BE5">
        <w:rPr>
          <w:rFonts w:ascii="Times New Roman" w:hAnsi="Times New Roman"/>
          <w:color w:val="auto"/>
          <w:sz w:val="22"/>
          <w:szCs w:val="22"/>
          <w:lang w:val="sk-SK"/>
        </w:rPr>
        <w:tab/>
      </w:r>
      <w:r w:rsidRPr="00393BE5">
        <w:rPr>
          <w:rFonts w:ascii="Times New Roman" w:hAnsi="Times New Roman"/>
          <w:color w:val="auto"/>
          <w:sz w:val="22"/>
          <w:szCs w:val="22"/>
          <w:lang w:val="sk-SK"/>
        </w:rPr>
        <w:t>posilňovaní rentability zlepšením postupov pre riadenie rizík a znížení výdavkov na dopad rizík,</w:t>
      </w:r>
    </w:p>
    <w:p w14:paraId="2D399732" w14:textId="6C1ADB36" w:rsidR="00383B50" w:rsidRPr="00393BE5" w:rsidRDefault="00383B50" w:rsidP="00825C44">
      <w:pPr>
        <w:pStyle w:val="BodyText1"/>
        <w:spacing w:before="0" w:after="0" w:line="276" w:lineRule="auto"/>
        <w:ind w:left="702" w:hanging="345"/>
        <w:rPr>
          <w:rFonts w:ascii="Times New Roman" w:hAnsi="Times New Roman"/>
          <w:color w:val="auto"/>
          <w:sz w:val="22"/>
          <w:szCs w:val="22"/>
          <w:lang w:val="sk-SK"/>
        </w:rPr>
      </w:pPr>
      <w:r w:rsidRPr="00393BE5">
        <w:rPr>
          <w:rFonts w:ascii="Times New Roman" w:hAnsi="Times New Roman"/>
          <w:color w:val="auto"/>
          <w:sz w:val="22"/>
          <w:szCs w:val="22"/>
          <w:lang w:val="sk-SK"/>
        </w:rPr>
        <w:t xml:space="preserve">– </w:t>
      </w:r>
      <w:r w:rsidR="00825C44" w:rsidRPr="00393BE5">
        <w:rPr>
          <w:rFonts w:ascii="Times New Roman" w:hAnsi="Times New Roman"/>
          <w:color w:val="auto"/>
          <w:sz w:val="22"/>
          <w:szCs w:val="22"/>
          <w:lang w:val="sk-SK"/>
        </w:rPr>
        <w:tab/>
      </w:r>
      <w:r w:rsidRPr="00393BE5">
        <w:rPr>
          <w:rFonts w:ascii="Times New Roman" w:hAnsi="Times New Roman"/>
          <w:color w:val="auto"/>
          <w:sz w:val="22"/>
          <w:szCs w:val="22"/>
          <w:lang w:val="sk-SK"/>
        </w:rPr>
        <w:t>určení zodpovednosti za riziko, jeho účinnom sledovaní a aktívnom a preventívnom prijímaní opatrení,</w:t>
      </w:r>
    </w:p>
    <w:p w14:paraId="2D399733" w14:textId="30288438" w:rsidR="00383B50" w:rsidRPr="00393BE5" w:rsidRDefault="00383B50" w:rsidP="00825C44">
      <w:pPr>
        <w:pStyle w:val="BodyText1"/>
        <w:spacing w:before="0" w:after="0" w:line="276" w:lineRule="auto"/>
        <w:ind w:left="702" w:hanging="345"/>
        <w:rPr>
          <w:rFonts w:ascii="Times New Roman" w:hAnsi="Times New Roman"/>
          <w:color w:val="auto"/>
          <w:sz w:val="22"/>
          <w:szCs w:val="22"/>
          <w:lang w:val="sk-SK"/>
        </w:rPr>
      </w:pPr>
      <w:r w:rsidRPr="00393BE5">
        <w:rPr>
          <w:rFonts w:ascii="Times New Roman" w:hAnsi="Times New Roman"/>
          <w:color w:val="auto"/>
          <w:sz w:val="22"/>
          <w:szCs w:val="22"/>
          <w:lang w:val="sk-SK"/>
        </w:rPr>
        <w:t xml:space="preserve">– </w:t>
      </w:r>
      <w:r w:rsidR="00825C44" w:rsidRPr="00393BE5">
        <w:rPr>
          <w:rFonts w:ascii="Times New Roman" w:hAnsi="Times New Roman"/>
          <w:color w:val="auto"/>
          <w:sz w:val="22"/>
          <w:szCs w:val="22"/>
          <w:lang w:val="sk-SK"/>
        </w:rPr>
        <w:tab/>
      </w:r>
      <w:r w:rsidRPr="00393BE5">
        <w:rPr>
          <w:rFonts w:ascii="Times New Roman" w:hAnsi="Times New Roman"/>
          <w:color w:val="auto"/>
          <w:sz w:val="22"/>
          <w:szCs w:val="22"/>
          <w:lang w:val="sk-SK"/>
        </w:rPr>
        <w:t>jasnom zviditeľnení rizík vedúcemu orgánu verejnej správy a vedúcim zamestnancom a v prijatí jasných postupov na riešenie.</w:t>
      </w:r>
    </w:p>
    <w:p w14:paraId="223DE1BC" w14:textId="63CC19A1" w:rsidR="007E51CD" w:rsidRDefault="00383B50" w:rsidP="00C3571B">
      <w:pPr>
        <w:pStyle w:val="BodyText1"/>
        <w:spacing w:line="276" w:lineRule="auto"/>
        <w:rPr>
          <w:rFonts w:ascii="Times New Roman" w:hAnsi="Times New Roman"/>
          <w:color w:val="auto"/>
          <w:sz w:val="22"/>
          <w:szCs w:val="22"/>
          <w:lang w:val="sk-SK"/>
        </w:rPr>
      </w:pPr>
      <w:r w:rsidRPr="00393BE5">
        <w:rPr>
          <w:rFonts w:ascii="Times New Roman" w:hAnsi="Times New Roman"/>
          <w:color w:val="auto"/>
          <w:sz w:val="22"/>
          <w:szCs w:val="22"/>
          <w:lang w:val="sk-SK"/>
        </w:rPr>
        <w:t>Hlavným cieľom riadenia rizika v organizácii by malo byť zabezpečenie prijatia najlepších možných postupov na identifikáciu, hodnotenie a efektívnu kontrolu rizika s cieľom zaručiť elimináciu alebo redukciu rizika na akceptovateľnú úroveň a zaručenie existencie systémov na sledovanie a opisovanie existujúcich a vznikajúcich rizík, ktoré by mohli poškodiť organizáciu.</w:t>
      </w:r>
    </w:p>
    <w:p w14:paraId="1260401D" w14:textId="78EAA1F3" w:rsidR="00981C74" w:rsidRDefault="00E71799" w:rsidP="00383AEA">
      <w:pPr>
        <w:pStyle w:val="BodyText1"/>
        <w:spacing w:line="276" w:lineRule="auto"/>
        <w:rPr>
          <w:rFonts w:ascii="Times New Roman" w:hAnsi="Times New Roman"/>
          <w:color w:val="auto"/>
          <w:sz w:val="22"/>
          <w:szCs w:val="22"/>
          <w:lang w:val="sk-SK"/>
        </w:rPr>
      </w:pPr>
      <w:r w:rsidRPr="00450DEB">
        <w:rPr>
          <w:rFonts w:ascii="Times New Roman" w:hAnsi="Times New Roman"/>
          <w:b/>
          <w:bCs/>
          <w:color w:val="auto"/>
          <w:sz w:val="22"/>
          <w:szCs w:val="22"/>
          <w:lang w:val="sk-SK"/>
        </w:rPr>
        <w:t xml:space="preserve">Podvod </w:t>
      </w:r>
      <w:r>
        <w:rPr>
          <w:rFonts w:ascii="Times New Roman" w:hAnsi="Times New Roman"/>
          <w:color w:val="auto"/>
          <w:sz w:val="22"/>
          <w:szCs w:val="22"/>
          <w:lang w:val="sk-SK"/>
        </w:rPr>
        <w:t xml:space="preserve">je jedným z druhov nezrovnalostí, </w:t>
      </w:r>
      <w:r w:rsidRPr="00E71799">
        <w:rPr>
          <w:rFonts w:ascii="Times New Roman" w:hAnsi="Times New Roman"/>
          <w:color w:val="auto"/>
          <w:sz w:val="22"/>
          <w:szCs w:val="22"/>
          <w:lang w:val="sk-SK"/>
        </w:rPr>
        <w:t xml:space="preserve">hlavným znakom je </w:t>
      </w:r>
      <w:r w:rsidRPr="00450DEB">
        <w:rPr>
          <w:rFonts w:ascii="Times New Roman" w:hAnsi="Times New Roman"/>
          <w:b/>
          <w:bCs/>
          <w:color w:val="auto"/>
          <w:sz w:val="22"/>
          <w:szCs w:val="22"/>
          <w:lang w:val="sk-SK"/>
        </w:rPr>
        <w:t>úmyselné správanie</w:t>
      </w:r>
      <w:r w:rsidRPr="00E71799">
        <w:rPr>
          <w:rFonts w:ascii="Times New Roman" w:hAnsi="Times New Roman"/>
          <w:color w:val="auto"/>
          <w:sz w:val="22"/>
          <w:szCs w:val="22"/>
          <w:lang w:val="sk-SK"/>
        </w:rPr>
        <w:t xml:space="preserve"> hospodárskeho subjektu</w:t>
      </w:r>
      <w:r>
        <w:rPr>
          <w:rFonts w:ascii="Times New Roman" w:hAnsi="Times New Roman"/>
          <w:color w:val="auto"/>
          <w:sz w:val="22"/>
          <w:szCs w:val="22"/>
          <w:lang w:val="sk-SK"/>
        </w:rPr>
        <w:t xml:space="preserve"> </w:t>
      </w:r>
      <w:r w:rsidRPr="00E71799">
        <w:rPr>
          <w:rFonts w:ascii="Times New Roman" w:hAnsi="Times New Roman"/>
          <w:color w:val="auto"/>
          <w:sz w:val="22"/>
          <w:szCs w:val="22"/>
          <w:lang w:val="sk-SK"/>
        </w:rPr>
        <w:t>(alebo opomenutie konania)</w:t>
      </w:r>
      <w:r w:rsidR="00981C74">
        <w:rPr>
          <w:rFonts w:ascii="Times New Roman" w:hAnsi="Times New Roman"/>
          <w:color w:val="auto"/>
          <w:sz w:val="22"/>
          <w:szCs w:val="22"/>
          <w:lang w:val="sk-SK"/>
        </w:rPr>
        <w:t xml:space="preserve">, </w:t>
      </w:r>
      <w:r w:rsidR="008B03FE">
        <w:rPr>
          <w:rFonts w:ascii="Times New Roman" w:hAnsi="Times New Roman"/>
          <w:color w:val="auto"/>
          <w:sz w:val="22"/>
          <w:szCs w:val="22"/>
          <w:lang w:val="sk-SK"/>
        </w:rPr>
        <w:t xml:space="preserve">ktoré </w:t>
      </w:r>
      <w:r w:rsidR="00981C74" w:rsidRPr="00981C74">
        <w:rPr>
          <w:rFonts w:ascii="Times New Roman" w:hAnsi="Times New Roman"/>
          <w:b/>
          <w:bCs/>
          <w:color w:val="auto"/>
          <w:sz w:val="22"/>
          <w:szCs w:val="22"/>
          <w:lang w:val="sk-SK"/>
        </w:rPr>
        <w:t>uvedie niekoho iného do omylu s cieľom vlastného obohatenia alebo spôsobenia škody inej osobe</w:t>
      </w:r>
      <w:r w:rsidR="00981C74" w:rsidRPr="00981C74">
        <w:rPr>
          <w:rFonts w:ascii="Times New Roman" w:hAnsi="Times New Roman"/>
          <w:color w:val="auto"/>
          <w:sz w:val="22"/>
          <w:szCs w:val="22"/>
          <w:lang w:val="sk-SK"/>
        </w:rPr>
        <w:t>.</w:t>
      </w:r>
      <w:r w:rsidR="00981C74">
        <w:rPr>
          <w:rStyle w:val="Odkaznapoznmkupodiarou"/>
          <w:color w:val="auto"/>
          <w:szCs w:val="22"/>
          <w:lang w:val="sk-SK"/>
        </w:rPr>
        <w:footnoteReference w:id="4"/>
      </w:r>
      <w:r w:rsidR="00981C74">
        <w:rPr>
          <w:rFonts w:ascii="Times New Roman" w:hAnsi="Times New Roman"/>
          <w:color w:val="auto"/>
          <w:sz w:val="22"/>
          <w:szCs w:val="22"/>
          <w:lang w:val="sk-SK"/>
        </w:rPr>
        <w:t xml:space="preserve"> </w:t>
      </w:r>
      <w:r w:rsidR="00383AEA" w:rsidRPr="008B03FE">
        <w:rPr>
          <w:rFonts w:ascii="Times New Roman" w:hAnsi="Times New Roman"/>
          <w:color w:val="auto"/>
          <w:sz w:val="22"/>
          <w:szCs w:val="22"/>
          <w:lang w:val="sk-SK"/>
        </w:rPr>
        <w:t>Pojem „podvod“ je užším pojmom ako pojem „nezrovnalosť“, ktorý zahŕňa aj neúmyselné správanie hospodárskeho subjektu.</w:t>
      </w:r>
    </w:p>
    <w:p w14:paraId="3D4EC26D" w14:textId="204FE9F1" w:rsidR="005A730A" w:rsidRPr="005A730A" w:rsidRDefault="005A730A" w:rsidP="005A730A">
      <w:pPr>
        <w:pStyle w:val="BodyText1"/>
        <w:spacing w:line="276" w:lineRule="auto"/>
        <w:rPr>
          <w:rFonts w:ascii="Times New Roman" w:hAnsi="Times New Roman"/>
          <w:color w:val="auto"/>
          <w:sz w:val="22"/>
          <w:szCs w:val="22"/>
          <w:lang w:val="sk-SK"/>
        </w:rPr>
      </w:pPr>
      <w:r w:rsidRPr="005A730A">
        <w:rPr>
          <w:rFonts w:ascii="Times New Roman" w:hAnsi="Times New Roman"/>
          <w:b/>
          <w:bCs/>
          <w:color w:val="auto"/>
          <w:sz w:val="22"/>
          <w:szCs w:val="22"/>
          <w:lang w:val="sk-SK"/>
        </w:rPr>
        <w:t>Podvod</w:t>
      </w:r>
      <w:r w:rsidR="007303F4">
        <w:rPr>
          <w:rStyle w:val="Odkaznapoznmkupodiarou"/>
          <w:b/>
          <w:bCs/>
          <w:color w:val="auto"/>
          <w:szCs w:val="22"/>
          <w:lang w:val="sk-SK"/>
        </w:rPr>
        <w:footnoteReference w:id="5"/>
      </w:r>
      <w:r w:rsidRPr="005A730A">
        <w:rPr>
          <w:rFonts w:ascii="Times New Roman" w:hAnsi="Times New Roman"/>
          <w:b/>
          <w:bCs/>
          <w:color w:val="auto"/>
          <w:sz w:val="22"/>
          <w:szCs w:val="22"/>
          <w:lang w:val="sk-SK"/>
        </w:rPr>
        <w:t xml:space="preserve"> poškodzujúci finančné záujmy </w:t>
      </w:r>
      <w:r>
        <w:rPr>
          <w:rFonts w:ascii="Times New Roman" w:hAnsi="Times New Roman"/>
          <w:b/>
          <w:bCs/>
          <w:color w:val="auto"/>
          <w:sz w:val="22"/>
          <w:szCs w:val="22"/>
          <w:lang w:val="sk-SK"/>
        </w:rPr>
        <w:t>EÚ</w:t>
      </w:r>
      <w:r w:rsidRPr="005A730A">
        <w:rPr>
          <w:rFonts w:ascii="Times New Roman" w:hAnsi="Times New Roman"/>
          <w:b/>
          <w:bCs/>
          <w:color w:val="auto"/>
          <w:sz w:val="22"/>
          <w:szCs w:val="22"/>
          <w:lang w:val="sk-SK"/>
        </w:rPr>
        <w:t xml:space="preserve"> v zmysle </w:t>
      </w:r>
      <w:r w:rsidR="00F73137">
        <w:rPr>
          <w:rFonts w:ascii="Times New Roman" w:hAnsi="Times New Roman"/>
          <w:b/>
          <w:bCs/>
          <w:color w:val="auto"/>
          <w:sz w:val="22"/>
          <w:szCs w:val="22"/>
          <w:lang w:val="sk-SK"/>
        </w:rPr>
        <w:t>S</w:t>
      </w:r>
      <w:r w:rsidRPr="005A730A">
        <w:rPr>
          <w:rFonts w:ascii="Times New Roman" w:hAnsi="Times New Roman"/>
          <w:b/>
          <w:bCs/>
          <w:color w:val="auto"/>
          <w:sz w:val="22"/>
          <w:szCs w:val="22"/>
          <w:lang w:val="sk-SK"/>
        </w:rPr>
        <w:t>mernice o boji proti podvodom</w:t>
      </w:r>
      <w:r w:rsidRPr="005A730A">
        <w:rPr>
          <w:rFonts w:ascii="Times New Roman" w:hAnsi="Times New Roman"/>
          <w:color w:val="auto"/>
          <w:sz w:val="22"/>
          <w:szCs w:val="22"/>
          <w:lang w:val="sk-SK"/>
        </w:rPr>
        <w:t xml:space="preserve"> predstavuje:</w:t>
      </w:r>
    </w:p>
    <w:p w14:paraId="1185A9F7" w14:textId="77777777" w:rsidR="005A730A" w:rsidRPr="005A730A" w:rsidRDefault="005A730A" w:rsidP="005A730A">
      <w:pPr>
        <w:pStyle w:val="BodyText1"/>
        <w:spacing w:line="276" w:lineRule="auto"/>
        <w:rPr>
          <w:rFonts w:ascii="Times New Roman" w:hAnsi="Times New Roman"/>
          <w:color w:val="auto"/>
          <w:sz w:val="22"/>
          <w:szCs w:val="22"/>
          <w:lang w:val="sk-SK"/>
        </w:rPr>
      </w:pPr>
      <w:r w:rsidRPr="00C362E7">
        <w:rPr>
          <w:rFonts w:ascii="Times New Roman" w:hAnsi="Times New Roman"/>
          <w:b/>
          <w:bCs/>
          <w:color w:val="auto"/>
          <w:sz w:val="22"/>
          <w:szCs w:val="22"/>
          <w:lang w:val="sk-SK"/>
        </w:rPr>
        <w:t>a)</w:t>
      </w:r>
      <w:r w:rsidRPr="005A730A">
        <w:rPr>
          <w:rFonts w:ascii="Times New Roman" w:hAnsi="Times New Roman"/>
          <w:color w:val="auto"/>
          <w:sz w:val="22"/>
          <w:szCs w:val="22"/>
          <w:lang w:val="sk-SK"/>
        </w:rPr>
        <w:t xml:space="preserve"> pokiaľ ide o výdavky nesúvisiace s verejným obstarávaním, akékoľvek konanie alebo opomenutie týkajúce sa:</w:t>
      </w:r>
    </w:p>
    <w:p w14:paraId="4FD61E74" w14:textId="77777777" w:rsidR="005A730A" w:rsidRPr="005A730A" w:rsidRDefault="005A730A" w:rsidP="00300226">
      <w:pPr>
        <w:pStyle w:val="BodyText1"/>
        <w:spacing w:line="276" w:lineRule="auto"/>
        <w:ind w:left="426"/>
        <w:rPr>
          <w:rFonts w:ascii="Times New Roman" w:hAnsi="Times New Roman"/>
          <w:color w:val="auto"/>
          <w:sz w:val="22"/>
          <w:szCs w:val="22"/>
          <w:lang w:val="sk-SK"/>
        </w:rPr>
      </w:pPr>
      <w:r w:rsidRPr="005A730A">
        <w:rPr>
          <w:rFonts w:ascii="Times New Roman" w:hAnsi="Times New Roman"/>
          <w:color w:val="auto"/>
          <w:sz w:val="22"/>
          <w:szCs w:val="22"/>
          <w:lang w:val="sk-SK"/>
        </w:rPr>
        <w:lastRenderedPageBreak/>
        <w:t>i) používania alebo predkladania falšovaných, nesprávnych alebo neúplných výkazov alebo dokladov, ktoré majú za následok spreneveru alebo neoprávnené zadržiavanie finančných prostriedkov alebo aktív z rozpočtu Únie alebo z rozpočtov spravovaných Úniou, alebo v jej mene;</w:t>
      </w:r>
    </w:p>
    <w:p w14:paraId="645B2B0B" w14:textId="77777777" w:rsidR="005A730A" w:rsidRPr="005A730A" w:rsidRDefault="005A730A" w:rsidP="00300226">
      <w:pPr>
        <w:pStyle w:val="BodyText1"/>
        <w:spacing w:line="276" w:lineRule="auto"/>
        <w:ind w:left="426"/>
        <w:rPr>
          <w:rFonts w:ascii="Times New Roman" w:hAnsi="Times New Roman"/>
          <w:color w:val="auto"/>
          <w:sz w:val="22"/>
          <w:szCs w:val="22"/>
          <w:lang w:val="sk-SK"/>
        </w:rPr>
      </w:pPr>
      <w:r w:rsidRPr="005A730A">
        <w:rPr>
          <w:rFonts w:ascii="Times New Roman" w:hAnsi="Times New Roman"/>
          <w:color w:val="auto"/>
          <w:sz w:val="22"/>
          <w:szCs w:val="22"/>
          <w:lang w:val="sk-SK"/>
        </w:rPr>
        <w:t>ii) neposkytnutia informácií v rozpore s konkrétnou povinnosťou, a to s rovnakým následkom; alebo</w:t>
      </w:r>
    </w:p>
    <w:p w14:paraId="188F3C36" w14:textId="317DFE55" w:rsidR="005A730A" w:rsidRDefault="005A730A" w:rsidP="00300226">
      <w:pPr>
        <w:pStyle w:val="BodyText1"/>
        <w:spacing w:line="276" w:lineRule="auto"/>
        <w:ind w:left="426"/>
        <w:rPr>
          <w:rFonts w:ascii="Times New Roman" w:hAnsi="Times New Roman"/>
          <w:color w:val="auto"/>
          <w:sz w:val="22"/>
          <w:szCs w:val="22"/>
          <w:lang w:val="sk-SK"/>
        </w:rPr>
      </w:pPr>
      <w:r w:rsidRPr="005A730A">
        <w:rPr>
          <w:rFonts w:ascii="Times New Roman" w:hAnsi="Times New Roman"/>
          <w:color w:val="auto"/>
          <w:sz w:val="22"/>
          <w:szCs w:val="22"/>
          <w:lang w:val="sk-SK"/>
        </w:rPr>
        <w:t>iii) zneužitia takýchto finančných prostriedkov alebo aktív na iné účely, než na ktoré boli pôvodne poskytnuté;</w:t>
      </w:r>
    </w:p>
    <w:p w14:paraId="4992D201" w14:textId="77777777" w:rsidR="00300226" w:rsidRPr="005A730A" w:rsidRDefault="00300226" w:rsidP="00300226">
      <w:pPr>
        <w:pStyle w:val="BodyText1"/>
        <w:spacing w:line="276" w:lineRule="auto"/>
        <w:ind w:left="426"/>
        <w:rPr>
          <w:rFonts w:ascii="Times New Roman" w:hAnsi="Times New Roman"/>
          <w:color w:val="auto"/>
          <w:sz w:val="22"/>
          <w:szCs w:val="22"/>
          <w:lang w:val="sk-SK"/>
        </w:rPr>
      </w:pPr>
    </w:p>
    <w:p w14:paraId="4A0596B8" w14:textId="77777777" w:rsidR="005A730A" w:rsidRPr="005A730A" w:rsidRDefault="005A730A" w:rsidP="005A730A">
      <w:pPr>
        <w:pStyle w:val="BodyText1"/>
        <w:spacing w:line="276" w:lineRule="auto"/>
        <w:rPr>
          <w:rFonts w:ascii="Times New Roman" w:hAnsi="Times New Roman"/>
          <w:color w:val="auto"/>
          <w:sz w:val="22"/>
          <w:szCs w:val="22"/>
          <w:lang w:val="sk-SK"/>
        </w:rPr>
      </w:pPr>
      <w:r w:rsidRPr="00C362E7">
        <w:rPr>
          <w:rFonts w:ascii="Times New Roman" w:hAnsi="Times New Roman"/>
          <w:b/>
          <w:bCs/>
          <w:color w:val="auto"/>
          <w:sz w:val="22"/>
          <w:szCs w:val="22"/>
          <w:lang w:val="sk-SK"/>
        </w:rPr>
        <w:t>b)</w:t>
      </w:r>
      <w:r w:rsidRPr="005A730A">
        <w:rPr>
          <w:rFonts w:ascii="Times New Roman" w:hAnsi="Times New Roman"/>
          <w:color w:val="auto"/>
          <w:sz w:val="22"/>
          <w:szCs w:val="22"/>
          <w:lang w:val="sk-SK"/>
        </w:rPr>
        <w:t xml:space="preserve"> pokiaľ ide o výdavky súvisiace s verejným obstarávaním, aspoň pokiaľ k nemu došlo v úmysle získať pre páchateľa alebo inú osobu neoprávnený prospech, a to poškodením finančných záujmov Únie, akékoľvek konanie alebo opomenutie týkajúce sa:</w:t>
      </w:r>
    </w:p>
    <w:p w14:paraId="5373E609" w14:textId="77777777" w:rsidR="005A730A" w:rsidRPr="005A730A" w:rsidRDefault="005A730A" w:rsidP="00300226">
      <w:pPr>
        <w:pStyle w:val="BodyText1"/>
        <w:spacing w:line="276" w:lineRule="auto"/>
        <w:ind w:left="426"/>
        <w:rPr>
          <w:rFonts w:ascii="Times New Roman" w:hAnsi="Times New Roman"/>
          <w:color w:val="auto"/>
          <w:sz w:val="22"/>
          <w:szCs w:val="22"/>
          <w:lang w:val="sk-SK"/>
        </w:rPr>
      </w:pPr>
      <w:r w:rsidRPr="005A730A">
        <w:rPr>
          <w:rFonts w:ascii="Times New Roman" w:hAnsi="Times New Roman"/>
          <w:color w:val="auto"/>
          <w:sz w:val="22"/>
          <w:szCs w:val="22"/>
          <w:lang w:val="sk-SK"/>
        </w:rPr>
        <w:t>i) používania alebo predkladania falšovaných, nesprávnych alebo neúplných výkazov alebo dokladov, ktoré majú za následok spreneveru alebo neoprávnené zadržiavanie finančných prostriedkov alebo aktív z rozpočtu Únie alebo z rozpočtov spravovaných Úniou, alebo v jej mene;</w:t>
      </w:r>
    </w:p>
    <w:p w14:paraId="204CD544" w14:textId="77777777" w:rsidR="005A730A" w:rsidRPr="005A730A" w:rsidRDefault="005A730A" w:rsidP="00300226">
      <w:pPr>
        <w:pStyle w:val="BodyText1"/>
        <w:spacing w:line="276" w:lineRule="auto"/>
        <w:ind w:left="426"/>
        <w:rPr>
          <w:rFonts w:ascii="Times New Roman" w:hAnsi="Times New Roman"/>
          <w:color w:val="auto"/>
          <w:sz w:val="22"/>
          <w:szCs w:val="22"/>
          <w:lang w:val="sk-SK"/>
        </w:rPr>
      </w:pPr>
      <w:r w:rsidRPr="005A730A">
        <w:rPr>
          <w:rFonts w:ascii="Times New Roman" w:hAnsi="Times New Roman"/>
          <w:color w:val="auto"/>
          <w:sz w:val="22"/>
          <w:szCs w:val="22"/>
          <w:lang w:val="sk-SK"/>
        </w:rPr>
        <w:t>ii) neposkytnutia informácií v rozpore s konkrétnou povinnosťou, a to s rovnakým následkom; alebo</w:t>
      </w:r>
    </w:p>
    <w:p w14:paraId="3E9E5E0E" w14:textId="77777777" w:rsidR="005A730A" w:rsidRPr="005A730A" w:rsidRDefault="005A730A" w:rsidP="00300226">
      <w:pPr>
        <w:pStyle w:val="BodyText1"/>
        <w:spacing w:line="276" w:lineRule="auto"/>
        <w:ind w:left="426"/>
        <w:rPr>
          <w:rFonts w:ascii="Times New Roman" w:hAnsi="Times New Roman"/>
          <w:color w:val="auto"/>
          <w:sz w:val="22"/>
          <w:szCs w:val="22"/>
          <w:lang w:val="sk-SK"/>
        </w:rPr>
      </w:pPr>
      <w:r w:rsidRPr="005A730A">
        <w:rPr>
          <w:rFonts w:ascii="Times New Roman" w:hAnsi="Times New Roman"/>
          <w:color w:val="auto"/>
          <w:sz w:val="22"/>
          <w:szCs w:val="22"/>
          <w:lang w:val="sk-SK"/>
        </w:rPr>
        <w:t>iii) zneužitia takýchto finančných prostriedkov alebo aktív na iné účely, než na ktoré boli pôvodne poskytnuté, ktoré poškodzuje finančné záujmy Únie.</w:t>
      </w:r>
    </w:p>
    <w:p w14:paraId="5C8B1C72" w14:textId="77777777" w:rsidR="005A730A" w:rsidRPr="005A730A" w:rsidRDefault="005A730A" w:rsidP="005A730A">
      <w:pPr>
        <w:pStyle w:val="BodyText1"/>
        <w:spacing w:line="276" w:lineRule="auto"/>
        <w:rPr>
          <w:rFonts w:ascii="Times New Roman" w:hAnsi="Times New Roman"/>
          <w:color w:val="auto"/>
          <w:sz w:val="22"/>
          <w:szCs w:val="22"/>
          <w:lang w:val="sk-SK"/>
        </w:rPr>
      </w:pPr>
      <w:r w:rsidRPr="005A730A">
        <w:rPr>
          <w:rFonts w:ascii="Times New Roman" w:hAnsi="Times New Roman"/>
          <w:color w:val="auto"/>
          <w:sz w:val="22"/>
          <w:szCs w:val="22"/>
          <w:lang w:val="sk-SK"/>
        </w:rPr>
        <w:t xml:space="preserve"> </w:t>
      </w:r>
    </w:p>
    <w:p w14:paraId="5FCF27B1" w14:textId="77777777" w:rsidR="005A730A" w:rsidRPr="005A730A" w:rsidRDefault="005A730A" w:rsidP="005A730A">
      <w:pPr>
        <w:pStyle w:val="BodyText1"/>
        <w:spacing w:line="276" w:lineRule="auto"/>
        <w:rPr>
          <w:rFonts w:ascii="Times New Roman" w:hAnsi="Times New Roman"/>
          <w:color w:val="auto"/>
          <w:sz w:val="22"/>
          <w:szCs w:val="22"/>
          <w:lang w:val="sk-SK"/>
        </w:rPr>
      </w:pPr>
      <w:r w:rsidRPr="00C362E7">
        <w:rPr>
          <w:rFonts w:ascii="Times New Roman" w:hAnsi="Times New Roman"/>
          <w:b/>
          <w:bCs/>
          <w:color w:val="auto"/>
          <w:sz w:val="22"/>
          <w:szCs w:val="22"/>
          <w:lang w:val="sk-SK"/>
        </w:rPr>
        <w:t>c)</w:t>
      </w:r>
      <w:r w:rsidRPr="005A730A">
        <w:rPr>
          <w:rFonts w:ascii="Times New Roman" w:hAnsi="Times New Roman"/>
          <w:color w:val="auto"/>
          <w:sz w:val="22"/>
          <w:szCs w:val="22"/>
          <w:lang w:val="sk-SK"/>
        </w:rPr>
        <w:t xml:space="preserve"> pokiaľ ide o iné príjmy, než sú príjmy z vlastných zdrojov založených na DPH uvedené v písmene d), akékoľvek konanie alebo opomenutie týkajúce sa:</w:t>
      </w:r>
    </w:p>
    <w:p w14:paraId="293288D2" w14:textId="77777777" w:rsidR="005A730A" w:rsidRPr="005A730A" w:rsidRDefault="005A730A" w:rsidP="00EC7A96">
      <w:pPr>
        <w:pStyle w:val="BodyText1"/>
        <w:spacing w:line="276" w:lineRule="auto"/>
        <w:ind w:left="426"/>
        <w:rPr>
          <w:rFonts w:ascii="Times New Roman" w:hAnsi="Times New Roman"/>
          <w:color w:val="auto"/>
          <w:sz w:val="22"/>
          <w:szCs w:val="22"/>
          <w:lang w:val="sk-SK"/>
        </w:rPr>
      </w:pPr>
      <w:r w:rsidRPr="005A730A">
        <w:rPr>
          <w:rFonts w:ascii="Times New Roman" w:hAnsi="Times New Roman"/>
          <w:color w:val="auto"/>
          <w:sz w:val="22"/>
          <w:szCs w:val="22"/>
          <w:lang w:val="sk-SK"/>
        </w:rPr>
        <w:t>i) používania alebo predkladania falšovaných, nesprávnych alebo neúplných výkazov alebo dokladov, ktoré majú za následok protiprávny úbytok zdrojov rozpočtu Únie alebo rozpočtov spravovaných Úniou alebo v jej mene;</w:t>
      </w:r>
    </w:p>
    <w:p w14:paraId="12B799C3" w14:textId="77777777" w:rsidR="005A730A" w:rsidRPr="005A730A" w:rsidRDefault="005A730A" w:rsidP="00EC7A96">
      <w:pPr>
        <w:pStyle w:val="BodyText1"/>
        <w:spacing w:line="276" w:lineRule="auto"/>
        <w:ind w:left="426"/>
        <w:rPr>
          <w:rFonts w:ascii="Times New Roman" w:hAnsi="Times New Roman"/>
          <w:color w:val="auto"/>
          <w:sz w:val="22"/>
          <w:szCs w:val="22"/>
          <w:lang w:val="sk-SK"/>
        </w:rPr>
      </w:pPr>
      <w:r w:rsidRPr="005A730A">
        <w:rPr>
          <w:rFonts w:ascii="Times New Roman" w:hAnsi="Times New Roman"/>
          <w:color w:val="auto"/>
          <w:sz w:val="22"/>
          <w:szCs w:val="22"/>
          <w:lang w:val="sk-SK"/>
        </w:rPr>
        <w:t>ii) neposkytnutia informácií v rozpore s konkrétnou povinnosťou, a to s rovnakým následkom; alebo</w:t>
      </w:r>
    </w:p>
    <w:p w14:paraId="28928D88" w14:textId="77777777" w:rsidR="005A730A" w:rsidRPr="005A730A" w:rsidRDefault="005A730A" w:rsidP="00EC7A96">
      <w:pPr>
        <w:pStyle w:val="BodyText1"/>
        <w:spacing w:line="276" w:lineRule="auto"/>
        <w:ind w:left="426"/>
        <w:rPr>
          <w:rFonts w:ascii="Times New Roman" w:hAnsi="Times New Roman"/>
          <w:color w:val="auto"/>
          <w:sz w:val="22"/>
          <w:szCs w:val="22"/>
          <w:lang w:val="sk-SK"/>
        </w:rPr>
      </w:pPr>
      <w:r w:rsidRPr="005A730A">
        <w:rPr>
          <w:rFonts w:ascii="Times New Roman" w:hAnsi="Times New Roman"/>
          <w:color w:val="auto"/>
          <w:sz w:val="22"/>
          <w:szCs w:val="22"/>
          <w:lang w:val="sk-SK"/>
        </w:rPr>
        <w:t>iii) zneužitia legálne nadobudnutého prospechu s rovnakým následkom;</w:t>
      </w:r>
    </w:p>
    <w:p w14:paraId="194C5D05" w14:textId="77777777" w:rsidR="005A730A" w:rsidRPr="005A730A" w:rsidRDefault="005A730A" w:rsidP="005A730A">
      <w:pPr>
        <w:pStyle w:val="BodyText1"/>
        <w:spacing w:line="276" w:lineRule="auto"/>
        <w:rPr>
          <w:rFonts w:ascii="Times New Roman" w:hAnsi="Times New Roman"/>
          <w:color w:val="auto"/>
          <w:sz w:val="22"/>
          <w:szCs w:val="22"/>
          <w:lang w:val="sk-SK"/>
        </w:rPr>
      </w:pPr>
      <w:r w:rsidRPr="005A730A">
        <w:rPr>
          <w:rFonts w:ascii="Times New Roman" w:hAnsi="Times New Roman"/>
          <w:color w:val="auto"/>
          <w:sz w:val="22"/>
          <w:szCs w:val="22"/>
          <w:lang w:val="sk-SK"/>
        </w:rPr>
        <w:t xml:space="preserve"> </w:t>
      </w:r>
    </w:p>
    <w:p w14:paraId="21994EA7" w14:textId="77777777" w:rsidR="005A730A" w:rsidRPr="005A730A" w:rsidRDefault="005A730A" w:rsidP="005A730A">
      <w:pPr>
        <w:pStyle w:val="BodyText1"/>
        <w:spacing w:line="276" w:lineRule="auto"/>
        <w:rPr>
          <w:rFonts w:ascii="Times New Roman" w:hAnsi="Times New Roman"/>
          <w:color w:val="auto"/>
          <w:sz w:val="22"/>
          <w:szCs w:val="22"/>
          <w:lang w:val="sk-SK"/>
        </w:rPr>
      </w:pPr>
      <w:r w:rsidRPr="00C362E7">
        <w:rPr>
          <w:rFonts w:ascii="Times New Roman" w:hAnsi="Times New Roman"/>
          <w:b/>
          <w:bCs/>
          <w:color w:val="auto"/>
          <w:sz w:val="22"/>
          <w:szCs w:val="22"/>
          <w:lang w:val="sk-SK"/>
        </w:rPr>
        <w:t>d)</w:t>
      </w:r>
      <w:r w:rsidRPr="005A730A">
        <w:rPr>
          <w:rFonts w:ascii="Times New Roman" w:hAnsi="Times New Roman"/>
          <w:color w:val="auto"/>
          <w:sz w:val="22"/>
          <w:szCs w:val="22"/>
          <w:lang w:val="sk-SK"/>
        </w:rPr>
        <w:t xml:space="preserve"> pokiaľ ide o príjmy z vlastných zdrojov založených na DPH, akékoľvek konanie alebo opomenutie, ku ktorému došlo v rámci cezhraničných podvodných schém, týkajúce sa:</w:t>
      </w:r>
    </w:p>
    <w:p w14:paraId="116B1B3C" w14:textId="77777777" w:rsidR="005A730A" w:rsidRPr="005A730A" w:rsidRDefault="005A730A" w:rsidP="00EC7A96">
      <w:pPr>
        <w:pStyle w:val="BodyText1"/>
        <w:spacing w:line="276" w:lineRule="auto"/>
        <w:ind w:left="284"/>
        <w:rPr>
          <w:rFonts w:ascii="Times New Roman" w:hAnsi="Times New Roman"/>
          <w:color w:val="auto"/>
          <w:sz w:val="22"/>
          <w:szCs w:val="22"/>
          <w:lang w:val="sk-SK"/>
        </w:rPr>
      </w:pPr>
      <w:r w:rsidRPr="005A730A">
        <w:rPr>
          <w:rFonts w:ascii="Times New Roman" w:hAnsi="Times New Roman"/>
          <w:color w:val="auto"/>
          <w:sz w:val="22"/>
          <w:szCs w:val="22"/>
          <w:lang w:val="sk-SK"/>
        </w:rPr>
        <w:t>i) používania alebo predkladania falšovaných, nesprávnych alebo neúplných výkazov alebo dokladov týkajúcich sa DPH, ktoré majú za následok úbytok zdrojov rozpočtu Únie;</w:t>
      </w:r>
    </w:p>
    <w:p w14:paraId="550099F9" w14:textId="77777777" w:rsidR="005A730A" w:rsidRPr="005A730A" w:rsidRDefault="005A730A" w:rsidP="00EC7A96">
      <w:pPr>
        <w:pStyle w:val="BodyText1"/>
        <w:spacing w:line="276" w:lineRule="auto"/>
        <w:ind w:left="284"/>
        <w:rPr>
          <w:rFonts w:ascii="Times New Roman" w:hAnsi="Times New Roman"/>
          <w:color w:val="auto"/>
          <w:sz w:val="22"/>
          <w:szCs w:val="22"/>
          <w:lang w:val="sk-SK"/>
        </w:rPr>
      </w:pPr>
      <w:r w:rsidRPr="005A730A">
        <w:rPr>
          <w:rFonts w:ascii="Times New Roman" w:hAnsi="Times New Roman"/>
          <w:color w:val="auto"/>
          <w:sz w:val="22"/>
          <w:szCs w:val="22"/>
          <w:lang w:val="sk-SK"/>
        </w:rPr>
        <w:t>ii) neposkytnutia informácií týkajúcich sa DPH v rozpore s konkrétnou povinnosťou, a to s rovnakým následkom; alebo</w:t>
      </w:r>
    </w:p>
    <w:p w14:paraId="6A7C9E9C" w14:textId="435F923E" w:rsidR="005A730A" w:rsidRDefault="005A730A" w:rsidP="00EC7A96">
      <w:pPr>
        <w:pStyle w:val="BodyText1"/>
        <w:spacing w:line="276" w:lineRule="auto"/>
        <w:ind w:left="284"/>
        <w:rPr>
          <w:rFonts w:ascii="Times New Roman" w:hAnsi="Times New Roman"/>
          <w:color w:val="auto"/>
          <w:sz w:val="22"/>
          <w:szCs w:val="22"/>
          <w:lang w:val="sk-SK"/>
        </w:rPr>
      </w:pPr>
      <w:r w:rsidRPr="005A730A">
        <w:rPr>
          <w:rFonts w:ascii="Times New Roman" w:hAnsi="Times New Roman"/>
          <w:color w:val="auto"/>
          <w:sz w:val="22"/>
          <w:szCs w:val="22"/>
          <w:lang w:val="sk-SK"/>
        </w:rPr>
        <w:t>iii) predloženia správnych výkazov týkajúcich sa DPH na účely podvodného zamaskovania nezaplatenia alebo neoprávneného vzniku práv na vrátenie DPH.</w:t>
      </w:r>
    </w:p>
    <w:p w14:paraId="447A1C9B" w14:textId="77777777" w:rsidR="00B950CD" w:rsidRPr="00391E81" w:rsidRDefault="00B950CD" w:rsidP="00EC7A96">
      <w:pPr>
        <w:pStyle w:val="BodyText1"/>
        <w:spacing w:line="276" w:lineRule="auto"/>
        <w:ind w:left="284"/>
        <w:rPr>
          <w:rFonts w:ascii="Times New Roman" w:hAnsi="Times New Roman"/>
          <w:color w:val="auto"/>
          <w:sz w:val="22"/>
          <w:szCs w:val="22"/>
          <w:lang w:val="sk-SK"/>
        </w:rPr>
      </w:pPr>
    </w:p>
    <w:p w14:paraId="23D45933" w14:textId="0E4DFC44" w:rsidR="001326B3" w:rsidRPr="000A6CF0" w:rsidRDefault="00383B50" w:rsidP="00CB23F4">
      <w:pPr>
        <w:pStyle w:val="Nadpis2"/>
        <w:numPr>
          <w:ilvl w:val="0"/>
          <w:numId w:val="1"/>
        </w:numPr>
        <w:spacing w:line="276" w:lineRule="auto"/>
        <w:ind w:left="284" w:hanging="284"/>
        <w:rPr>
          <w:rStyle w:val="tl3Char"/>
          <w:color w:val="0070C0"/>
          <w:sz w:val="24"/>
          <w:szCs w:val="24"/>
          <w:lang w:val="sk-SK"/>
        </w:rPr>
      </w:pPr>
      <w:bookmarkStart w:id="10" w:name="_Toc45873725"/>
      <w:bookmarkStart w:id="11" w:name="_Toc97642158"/>
      <w:r w:rsidRPr="000A6CF0">
        <w:rPr>
          <w:rStyle w:val="tl3Char"/>
          <w:color w:val="0070C0"/>
          <w:sz w:val="24"/>
          <w:szCs w:val="24"/>
          <w:lang w:val="sk-SK"/>
        </w:rPr>
        <w:lastRenderedPageBreak/>
        <w:t>Z</w:t>
      </w:r>
      <w:r w:rsidR="001326B3" w:rsidRPr="000A6CF0">
        <w:rPr>
          <w:rStyle w:val="tl3Char"/>
          <w:color w:val="0070C0"/>
          <w:sz w:val="24"/>
          <w:szCs w:val="24"/>
          <w:lang w:val="sk-SK"/>
        </w:rPr>
        <w:t>ODPOVEDNOSTI ZAMESTNANCOV RO PRI RIADENÍ RIZÍK</w:t>
      </w:r>
      <w:r w:rsidR="006D3A59">
        <w:rPr>
          <w:rStyle w:val="tl3Char"/>
          <w:color w:val="0070C0"/>
          <w:sz w:val="24"/>
          <w:szCs w:val="24"/>
          <w:lang w:val="sk-SK"/>
        </w:rPr>
        <w:t xml:space="preserve"> </w:t>
      </w:r>
      <w:r w:rsidR="00185688">
        <w:rPr>
          <w:rStyle w:val="tl3Char"/>
          <w:color w:val="0070C0"/>
          <w:sz w:val="24"/>
          <w:szCs w:val="24"/>
          <w:lang w:val="sk-SK"/>
        </w:rPr>
        <w:t>PODVODOV</w:t>
      </w:r>
    </w:p>
    <w:bookmarkEnd w:id="10"/>
    <w:bookmarkEnd w:id="11"/>
    <w:p w14:paraId="2D399737" w14:textId="5CD90A03" w:rsidR="00383B50" w:rsidRPr="00600E62" w:rsidRDefault="00383B50" w:rsidP="00C3571B">
      <w:pPr>
        <w:pStyle w:val="BodyText1"/>
        <w:spacing w:line="276" w:lineRule="auto"/>
        <w:rPr>
          <w:rFonts w:ascii="Times New Roman" w:hAnsi="Times New Roman"/>
          <w:color w:val="auto"/>
          <w:sz w:val="22"/>
          <w:szCs w:val="22"/>
          <w:lang w:val="sk-SK"/>
        </w:rPr>
      </w:pPr>
      <w:r w:rsidRPr="00393BE5">
        <w:rPr>
          <w:rFonts w:ascii="Times New Roman" w:hAnsi="Times New Roman"/>
          <w:color w:val="auto"/>
          <w:sz w:val="22"/>
          <w:szCs w:val="22"/>
          <w:lang w:val="sk-SK"/>
        </w:rPr>
        <w:t xml:space="preserve">Riadenie rizík </w:t>
      </w:r>
      <w:r w:rsidR="00564FA8" w:rsidRPr="00457183">
        <w:rPr>
          <w:rFonts w:ascii="Times New Roman" w:hAnsi="Times New Roman"/>
          <w:color w:val="auto"/>
          <w:sz w:val="22"/>
          <w:szCs w:val="22"/>
          <w:lang w:val="sk-SK"/>
        </w:rPr>
        <w:t xml:space="preserve">spadá do pôsobnosti manažmentu </w:t>
      </w:r>
      <w:r w:rsidR="00994424" w:rsidRPr="00457183">
        <w:rPr>
          <w:rFonts w:ascii="Times New Roman" w:hAnsi="Times New Roman"/>
          <w:color w:val="auto"/>
          <w:sz w:val="22"/>
          <w:szCs w:val="22"/>
          <w:lang w:val="sk-SK"/>
        </w:rPr>
        <w:t>R</w:t>
      </w:r>
      <w:r w:rsidR="00564FA8" w:rsidRPr="00457183">
        <w:rPr>
          <w:rFonts w:ascii="Times New Roman" w:hAnsi="Times New Roman"/>
          <w:color w:val="auto"/>
          <w:sz w:val="22"/>
          <w:szCs w:val="22"/>
          <w:lang w:val="sk-SK"/>
        </w:rPr>
        <w:t xml:space="preserve">O v rámci </w:t>
      </w:r>
      <w:r w:rsidR="00393BE5" w:rsidRPr="00393BE5">
        <w:rPr>
          <w:rFonts w:ascii="Times New Roman" w:hAnsi="Times New Roman"/>
          <w:color w:val="auto"/>
          <w:sz w:val="22"/>
          <w:szCs w:val="22"/>
          <w:lang w:val="sk-SK"/>
        </w:rPr>
        <w:t xml:space="preserve">programov </w:t>
      </w:r>
      <w:r w:rsidRPr="00393BE5">
        <w:rPr>
          <w:rFonts w:ascii="Times New Roman" w:hAnsi="Times New Roman"/>
          <w:color w:val="auto"/>
          <w:sz w:val="22"/>
          <w:szCs w:val="22"/>
          <w:lang w:val="sk-SK"/>
        </w:rPr>
        <w:t>(teda MV SR ako orgánu verejnej správy). Účinné riadenie</w:t>
      </w:r>
      <w:r w:rsidR="00564FA8" w:rsidRPr="00457183">
        <w:rPr>
          <w:rFonts w:ascii="Times New Roman" w:hAnsi="Times New Roman"/>
          <w:color w:val="auto"/>
          <w:sz w:val="22"/>
          <w:szCs w:val="22"/>
          <w:lang w:val="sk-SK"/>
        </w:rPr>
        <w:t xml:space="preserve"> rizík na úrovni </w:t>
      </w:r>
      <w:r w:rsidR="00ED6495" w:rsidRPr="00457183">
        <w:rPr>
          <w:rFonts w:ascii="Times New Roman" w:hAnsi="Times New Roman"/>
          <w:color w:val="auto"/>
          <w:sz w:val="22"/>
          <w:szCs w:val="22"/>
          <w:lang w:val="sk-SK"/>
        </w:rPr>
        <w:t>R</w:t>
      </w:r>
      <w:r w:rsidR="002D1507" w:rsidRPr="00457183">
        <w:rPr>
          <w:rFonts w:ascii="Times New Roman" w:hAnsi="Times New Roman"/>
          <w:color w:val="auto"/>
          <w:sz w:val="22"/>
          <w:szCs w:val="22"/>
          <w:lang w:val="sk-SK"/>
        </w:rPr>
        <w:t xml:space="preserve">O </w:t>
      </w:r>
      <w:r w:rsidRPr="00457183">
        <w:rPr>
          <w:rFonts w:ascii="Times New Roman" w:hAnsi="Times New Roman"/>
          <w:color w:val="auto"/>
          <w:sz w:val="22"/>
          <w:szCs w:val="22"/>
          <w:lang w:val="sk-SK"/>
        </w:rPr>
        <w:t xml:space="preserve"> zabezpečuje </w:t>
      </w:r>
      <w:r w:rsidR="003007C6" w:rsidRPr="00450DEB">
        <w:rPr>
          <w:rFonts w:ascii="Times New Roman" w:hAnsi="Times New Roman"/>
          <w:color w:val="auto"/>
          <w:sz w:val="22"/>
          <w:szCs w:val="22"/>
          <w:lang w:val="sk-SK"/>
        </w:rPr>
        <w:t xml:space="preserve">Tím </w:t>
      </w:r>
      <w:r w:rsidR="00D82C7E">
        <w:rPr>
          <w:rFonts w:ascii="Times New Roman" w:hAnsi="Times New Roman"/>
          <w:color w:val="auto"/>
          <w:sz w:val="22"/>
          <w:szCs w:val="22"/>
          <w:lang w:val="sk-SK"/>
        </w:rPr>
        <w:t> pre riadenie</w:t>
      </w:r>
      <w:r w:rsidRPr="00450DEB">
        <w:rPr>
          <w:rFonts w:ascii="Times New Roman" w:hAnsi="Times New Roman"/>
          <w:color w:val="auto"/>
          <w:sz w:val="22"/>
          <w:szCs w:val="22"/>
          <w:lang w:val="sk-SK"/>
        </w:rPr>
        <w:t xml:space="preserve"> rizík </w:t>
      </w:r>
      <w:r w:rsidR="007C5030" w:rsidRPr="00450DEB">
        <w:rPr>
          <w:rFonts w:ascii="Times New Roman" w:hAnsi="Times New Roman"/>
          <w:color w:val="auto"/>
          <w:sz w:val="22"/>
          <w:szCs w:val="22"/>
          <w:lang w:val="sk-SK"/>
        </w:rPr>
        <w:t>podvodov</w:t>
      </w:r>
      <w:r w:rsidRPr="00600E62">
        <w:rPr>
          <w:rFonts w:ascii="Times New Roman" w:hAnsi="Times New Roman"/>
          <w:color w:val="auto"/>
          <w:sz w:val="22"/>
          <w:szCs w:val="22"/>
          <w:lang w:val="sk-SK"/>
        </w:rPr>
        <w:t xml:space="preserve">. </w:t>
      </w:r>
    </w:p>
    <w:p w14:paraId="2D399739" w14:textId="6B35DDE1" w:rsidR="00383B50" w:rsidRPr="00457183" w:rsidRDefault="007C5030" w:rsidP="00C3571B">
      <w:pPr>
        <w:pStyle w:val="BodyText1"/>
        <w:spacing w:line="276" w:lineRule="auto"/>
        <w:rPr>
          <w:rFonts w:ascii="Times New Roman" w:hAnsi="Times New Roman"/>
          <w:color w:val="auto"/>
          <w:sz w:val="22"/>
          <w:szCs w:val="22"/>
          <w:lang w:val="sk-SK"/>
        </w:rPr>
      </w:pPr>
      <w:r w:rsidRPr="00450DEB">
        <w:rPr>
          <w:rFonts w:ascii="Times New Roman" w:hAnsi="Times New Roman"/>
          <w:b/>
          <w:color w:val="auto"/>
          <w:sz w:val="22"/>
          <w:szCs w:val="22"/>
          <w:lang w:val="sk-SK"/>
        </w:rPr>
        <w:t xml:space="preserve">Tím </w:t>
      </w:r>
      <w:r w:rsidR="00D82C7E">
        <w:rPr>
          <w:rFonts w:ascii="Times New Roman" w:hAnsi="Times New Roman"/>
          <w:b/>
          <w:color w:val="auto"/>
          <w:sz w:val="22"/>
          <w:szCs w:val="22"/>
          <w:lang w:val="sk-SK"/>
        </w:rPr>
        <w:t> pre riadenie</w:t>
      </w:r>
      <w:r w:rsidRPr="00450DEB">
        <w:rPr>
          <w:rFonts w:ascii="Times New Roman" w:hAnsi="Times New Roman"/>
          <w:b/>
          <w:color w:val="auto"/>
          <w:sz w:val="22"/>
          <w:szCs w:val="22"/>
          <w:lang w:val="sk-SK"/>
        </w:rPr>
        <w:t xml:space="preserve"> rizík podvodov</w:t>
      </w:r>
      <w:r w:rsidR="0010441F" w:rsidRPr="00457183">
        <w:rPr>
          <w:rFonts w:ascii="Times New Roman" w:hAnsi="Times New Roman"/>
          <w:color w:val="auto"/>
          <w:sz w:val="22"/>
          <w:szCs w:val="22"/>
          <w:lang w:val="sk-SK"/>
        </w:rPr>
        <w:t xml:space="preserve"> tvoria </w:t>
      </w:r>
      <w:r w:rsidR="0010441F" w:rsidRPr="00450DEB">
        <w:rPr>
          <w:rFonts w:ascii="Times New Roman" w:hAnsi="Times New Roman"/>
          <w:b/>
          <w:color w:val="auto"/>
          <w:sz w:val="22"/>
          <w:szCs w:val="22"/>
          <w:lang w:val="sk-SK"/>
        </w:rPr>
        <w:t>v</w:t>
      </w:r>
      <w:r w:rsidR="00383B50" w:rsidRPr="00450DEB">
        <w:rPr>
          <w:rFonts w:ascii="Times New Roman" w:hAnsi="Times New Roman"/>
          <w:b/>
          <w:color w:val="auto"/>
          <w:sz w:val="22"/>
          <w:szCs w:val="22"/>
          <w:lang w:val="sk-SK"/>
        </w:rPr>
        <w:t>edúci zamestnanci</w:t>
      </w:r>
      <w:r w:rsidR="0010441F" w:rsidRPr="00450DEB">
        <w:rPr>
          <w:rFonts w:ascii="Times New Roman" w:hAnsi="Times New Roman"/>
          <w:b/>
          <w:color w:val="auto"/>
          <w:sz w:val="22"/>
          <w:szCs w:val="22"/>
          <w:lang w:val="sk-SK"/>
        </w:rPr>
        <w:t xml:space="preserve"> </w:t>
      </w:r>
      <w:r w:rsidR="006944C4">
        <w:rPr>
          <w:rFonts w:ascii="Times New Roman" w:hAnsi="Times New Roman"/>
          <w:b/>
          <w:color w:val="auto"/>
          <w:sz w:val="22"/>
          <w:szCs w:val="22"/>
          <w:lang w:val="sk-SK"/>
        </w:rPr>
        <w:t>OZP, PJ</w:t>
      </w:r>
      <w:r w:rsidR="00846D79">
        <w:rPr>
          <w:rFonts w:ascii="Times New Roman" w:hAnsi="Times New Roman"/>
          <w:b/>
          <w:color w:val="auto"/>
          <w:sz w:val="22"/>
          <w:szCs w:val="22"/>
          <w:lang w:val="sk-SK"/>
        </w:rPr>
        <w:t xml:space="preserve"> a OKVO</w:t>
      </w:r>
      <w:r w:rsidR="00F84789">
        <w:rPr>
          <w:rFonts w:ascii="Times New Roman" w:hAnsi="Times New Roman"/>
          <w:b/>
          <w:color w:val="auto"/>
          <w:sz w:val="22"/>
          <w:szCs w:val="22"/>
          <w:lang w:val="sk-SK"/>
        </w:rPr>
        <w:t xml:space="preserve"> </w:t>
      </w:r>
      <w:r w:rsidR="0010441F" w:rsidRPr="00450DEB">
        <w:rPr>
          <w:rFonts w:ascii="Times New Roman" w:hAnsi="Times New Roman"/>
          <w:b/>
          <w:color w:val="auto"/>
          <w:sz w:val="22"/>
          <w:szCs w:val="22"/>
          <w:lang w:val="sk-SK"/>
        </w:rPr>
        <w:t>a vyškolený koordinátor</w:t>
      </w:r>
      <w:r w:rsidR="0010441F" w:rsidRPr="00457183">
        <w:rPr>
          <w:rFonts w:ascii="Times New Roman" w:hAnsi="Times New Roman"/>
          <w:color w:val="auto"/>
          <w:sz w:val="22"/>
          <w:szCs w:val="22"/>
          <w:lang w:val="sk-SK"/>
        </w:rPr>
        <w:t>, ktorí</w:t>
      </w:r>
      <w:r w:rsidR="00564FA8" w:rsidRPr="00457183">
        <w:rPr>
          <w:rFonts w:ascii="Times New Roman" w:hAnsi="Times New Roman"/>
          <w:color w:val="auto"/>
          <w:sz w:val="22"/>
          <w:szCs w:val="22"/>
          <w:lang w:val="sk-SK"/>
        </w:rPr>
        <w:t xml:space="preserve"> </w:t>
      </w:r>
      <w:r w:rsidR="00383B50" w:rsidRPr="00457183">
        <w:rPr>
          <w:rFonts w:ascii="Times New Roman" w:hAnsi="Times New Roman"/>
          <w:color w:val="auto"/>
          <w:sz w:val="22"/>
          <w:szCs w:val="22"/>
          <w:lang w:val="sk-SK"/>
        </w:rPr>
        <w:t>sú zodpovední za identifikáciu, riadenie, monitorovanie a hodno</w:t>
      </w:r>
      <w:r w:rsidR="0010441F" w:rsidRPr="00457183">
        <w:rPr>
          <w:rFonts w:ascii="Times New Roman" w:hAnsi="Times New Roman"/>
          <w:color w:val="auto"/>
          <w:sz w:val="22"/>
          <w:szCs w:val="22"/>
          <w:lang w:val="sk-SK"/>
        </w:rPr>
        <w:t>tenie</w:t>
      </w:r>
      <w:r w:rsidR="00383B50" w:rsidRPr="00457183">
        <w:rPr>
          <w:rFonts w:ascii="Times New Roman" w:hAnsi="Times New Roman"/>
          <w:color w:val="auto"/>
          <w:sz w:val="22"/>
          <w:szCs w:val="22"/>
          <w:lang w:val="sk-SK"/>
        </w:rPr>
        <w:t xml:space="preserve"> rizík</w:t>
      </w:r>
      <w:r w:rsidR="0010441F" w:rsidRPr="00457183">
        <w:rPr>
          <w:rFonts w:ascii="Times New Roman" w:hAnsi="Times New Roman"/>
          <w:color w:val="auto"/>
          <w:sz w:val="22"/>
          <w:szCs w:val="22"/>
          <w:lang w:val="sk-SK"/>
        </w:rPr>
        <w:t xml:space="preserve"> </w:t>
      </w:r>
      <w:r w:rsidRPr="00457183">
        <w:rPr>
          <w:rFonts w:ascii="Times New Roman" w:hAnsi="Times New Roman"/>
          <w:color w:val="auto"/>
          <w:sz w:val="22"/>
          <w:szCs w:val="22"/>
          <w:lang w:val="sk-SK"/>
        </w:rPr>
        <w:t>podvodov</w:t>
      </w:r>
      <w:r w:rsidR="00383B50" w:rsidRPr="00457183">
        <w:rPr>
          <w:rFonts w:ascii="Times New Roman" w:hAnsi="Times New Roman"/>
          <w:color w:val="auto"/>
          <w:sz w:val="22"/>
          <w:szCs w:val="22"/>
          <w:lang w:val="sk-SK"/>
        </w:rPr>
        <w:t>.</w:t>
      </w:r>
      <w:r w:rsidR="00F05EA2">
        <w:rPr>
          <w:rFonts w:ascii="Times New Roman" w:hAnsi="Times New Roman"/>
          <w:color w:val="auto"/>
          <w:sz w:val="22"/>
          <w:szCs w:val="22"/>
          <w:lang w:val="sk-SK"/>
        </w:rPr>
        <w:t xml:space="preserve"> </w:t>
      </w:r>
    </w:p>
    <w:p w14:paraId="2D39973A" w14:textId="32D23FD4" w:rsidR="00383B50" w:rsidRPr="00457183" w:rsidRDefault="007C5030" w:rsidP="00C3571B">
      <w:pPr>
        <w:pStyle w:val="BodyText1"/>
        <w:spacing w:line="276" w:lineRule="auto"/>
        <w:rPr>
          <w:rFonts w:ascii="Times New Roman" w:hAnsi="Times New Roman"/>
          <w:color w:val="auto"/>
          <w:sz w:val="22"/>
          <w:szCs w:val="22"/>
          <w:lang w:val="sk-SK"/>
        </w:rPr>
      </w:pPr>
      <w:r w:rsidRPr="00457183">
        <w:rPr>
          <w:rFonts w:ascii="Times New Roman" w:hAnsi="Times New Roman"/>
          <w:color w:val="auto"/>
          <w:sz w:val="22"/>
          <w:szCs w:val="22"/>
          <w:lang w:val="sk-SK"/>
        </w:rPr>
        <w:t xml:space="preserve">Tím </w:t>
      </w:r>
      <w:r w:rsidR="00EC03B7">
        <w:rPr>
          <w:rFonts w:ascii="Times New Roman" w:hAnsi="Times New Roman"/>
          <w:color w:val="auto"/>
          <w:sz w:val="22"/>
          <w:szCs w:val="22"/>
          <w:lang w:val="sk-SK"/>
        </w:rPr>
        <w:t> pre riadenie</w:t>
      </w:r>
      <w:r w:rsidRPr="00457183">
        <w:rPr>
          <w:rFonts w:ascii="Times New Roman" w:hAnsi="Times New Roman"/>
          <w:color w:val="auto"/>
          <w:sz w:val="22"/>
          <w:szCs w:val="22"/>
          <w:lang w:val="sk-SK"/>
        </w:rPr>
        <w:t xml:space="preserve"> rizík podvodov</w:t>
      </w:r>
      <w:r w:rsidR="00383B50" w:rsidRPr="00457183">
        <w:rPr>
          <w:rFonts w:ascii="Times New Roman" w:hAnsi="Times New Roman"/>
          <w:color w:val="auto"/>
          <w:sz w:val="22"/>
          <w:szCs w:val="22"/>
          <w:lang w:val="sk-SK"/>
        </w:rPr>
        <w:t xml:space="preserve"> pri vyhodnocovaní systému riadenia rizík berie do úvahy minimálne:</w:t>
      </w:r>
    </w:p>
    <w:p w14:paraId="2D39973B" w14:textId="4AE61C83" w:rsidR="00383B50" w:rsidRPr="00457183" w:rsidRDefault="00383B50" w:rsidP="00825C44">
      <w:pPr>
        <w:pStyle w:val="BodyText1"/>
        <w:numPr>
          <w:ilvl w:val="0"/>
          <w:numId w:val="27"/>
        </w:numPr>
        <w:spacing w:before="0" w:after="0" w:line="276" w:lineRule="auto"/>
        <w:rPr>
          <w:rFonts w:ascii="Times New Roman" w:hAnsi="Times New Roman"/>
          <w:color w:val="auto"/>
          <w:sz w:val="22"/>
          <w:szCs w:val="22"/>
          <w:lang w:val="sk-SK"/>
        </w:rPr>
      </w:pPr>
      <w:r w:rsidRPr="00457183">
        <w:rPr>
          <w:rFonts w:ascii="Times New Roman" w:hAnsi="Times New Roman"/>
          <w:color w:val="auto"/>
          <w:sz w:val="22"/>
          <w:szCs w:val="22"/>
          <w:lang w:val="sk-SK"/>
        </w:rPr>
        <w:t xml:space="preserve">povahu a rozsah negatívnych rizík, </w:t>
      </w:r>
    </w:p>
    <w:p w14:paraId="2D39973C" w14:textId="38C938CD" w:rsidR="00383B50" w:rsidRPr="00457183" w:rsidRDefault="00383B50" w:rsidP="00825C44">
      <w:pPr>
        <w:pStyle w:val="BodyText1"/>
        <w:numPr>
          <w:ilvl w:val="0"/>
          <w:numId w:val="27"/>
        </w:numPr>
        <w:spacing w:before="0" w:after="0" w:line="276" w:lineRule="auto"/>
        <w:rPr>
          <w:rFonts w:ascii="Times New Roman" w:hAnsi="Times New Roman"/>
          <w:color w:val="auto"/>
          <w:sz w:val="22"/>
          <w:szCs w:val="22"/>
          <w:lang w:val="sk-SK"/>
        </w:rPr>
      </w:pPr>
      <w:r w:rsidRPr="00457183">
        <w:rPr>
          <w:rFonts w:ascii="Times New Roman" w:hAnsi="Times New Roman"/>
          <w:color w:val="auto"/>
          <w:sz w:val="22"/>
          <w:szCs w:val="22"/>
          <w:lang w:val="sk-SK"/>
        </w:rPr>
        <w:t>pravdepodobnosť, že sa takéto riziká stanú skutočnosťou,</w:t>
      </w:r>
    </w:p>
    <w:p w14:paraId="2D39973E" w14:textId="766F053D" w:rsidR="00383B50" w:rsidRPr="00457183" w:rsidRDefault="00383B50" w:rsidP="00825C44">
      <w:pPr>
        <w:pStyle w:val="BodyText1"/>
        <w:numPr>
          <w:ilvl w:val="0"/>
          <w:numId w:val="27"/>
        </w:numPr>
        <w:spacing w:before="0" w:after="0" w:line="276" w:lineRule="auto"/>
        <w:rPr>
          <w:rFonts w:ascii="Times New Roman" w:hAnsi="Times New Roman"/>
          <w:color w:val="auto"/>
          <w:sz w:val="22"/>
          <w:szCs w:val="22"/>
          <w:lang w:val="sk-SK"/>
        </w:rPr>
      </w:pPr>
      <w:r w:rsidRPr="00457183">
        <w:rPr>
          <w:rFonts w:ascii="Times New Roman" w:hAnsi="Times New Roman"/>
          <w:color w:val="auto"/>
          <w:sz w:val="22"/>
          <w:szCs w:val="22"/>
          <w:lang w:val="sk-SK"/>
        </w:rPr>
        <w:t>schopnosť organizácie minimalizovať pravdepodobnosť vzniku rizík a ich dopad na činnosť organizácie,</w:t>
      </w:r>
    </w:p>
    <w:p w14:paraId="73EFE7ED" w14:textId="6F0FB023" w:rsidR="007B2B23" w:rsidRPr="00457183" w:rsidRDefault="00825C44">
      <w:pPr>
        <w:pStyle w:val="BodyText1"/>
        <w:spacing w:before="0" w:after="0" w:line="276" w:lineRule="auto"/>
        <w:ind w:firstLine="357"/>
        <w:rPr>
          <w:rFonts w:ascii="Times New Roman" w:hAnsi="Times New Roman"/>
          <w:color w:val="auto"/>
          <w:sz w:val="22"/>
          <w:szCs w:val="22"/>
          <w:lang w:val="sk-SK"/>
        </w:rPr>
      </w:pPr>
      <w:r w:rsidRPr="00457183">
        <w:rPr>
          <w:rFonts w:ascii="Times New Roman" w:hAnsi="Times New Roman"/>
          <w:color w:val="auto"/>
          <w:sz w:val="22"/>
          <w:szCs w:val="22"/>
          <w:lang w:val="sk-SK"/>
        </w:rPr>
        <w:t>–</w:t>
      </w:r>
      <w:r w:rsidRPr="00457183">
        <w:rPr>
          <w:rFonts w:ascii="Times New Roman" w:hAnsi="Times New Roman"/>
          <w:color w:val="auto"/>
          <w:sz w:val="22"/>
          <w:szCs w:val="22"/>
          <w:lang w:val="sk-SK"/>
        </w:rPr>
        <w:tab/>
      </w:r>
      <w:r w:rsidR="00383B50" w:rsidRPr="00457183">
        <w:rPr>
          <w:rFonts w:ascii="Times New Roman" w:hAnsi="Times New Roman"/>
          <w:color w:val="auto"/>
          <w:sz w:val="22"/>
          <w:szCs w:val="22"/>
          <w:lang w:val="sk-SK"/>
        </w:rPr>
        <w:t>vplyv ich rozhodnutí na riziká</w:t>
      </w:r>
      <w:r w:rsidR="00EC03B7">
        <w:rPr>
          <w:rFonts w:ascii="Times New Roman" w:hAnsi="Times New Roman"/>
          <w:color w:val="auto"/>
          <w:sz w:val="22"/>
          <w:szCs w:val="22"/>
          <w:lang w:val="sk-SK"/>
        </w:rPr>
        <w:t>.</w:t>
      </w:r>
    </w:p>
    <w:p w14:paraId="2D399742" w14:textId="369370CE" w:rsidR="00383B50" w:rsidRPr="00457183" w:rsidRDefault="004663FD" w:rsidP="00CB23F4">
      <w:pPr>
        <w:pStyle w:val="Nadpis2"/>
        <w:spacing w:line="276" w:lineRule="auto"/>
        <w:ind w:left="284" w:hanging="284"/>
        <w:rPr>
          <w:rFonts w:ascii="Times New Roman" w:hAnsi="Times New Roman"/>
          <w:b/>
          <w:color w:val="0070C0"/>
          <w:lang w:val="sk-SK"/>
        </w:rPr>
      </w:pPr>
      <w:bookmarkStart w:id="12" w:name="_Toc45873726"/>
      <w:bookmarkStart w:id="13" w:name="_Toc97642159"/>
      <w:r w:rsidRPr="00457183">
        <w:rPr>
          <w:rFonts w:ascii="Times New Roman" w:hAnsi="Times New Roman"/>
          <w:b/>
          <w:color w:val="0070C0"/>
          <w:lang w:val="sk-SK"/>
        </w:rPr>
        <w:t>4.</w:t>
      </w:r>
      <w:r w:rsidRPr="00457183">
        <w:rPr>
          <w:rFonts w:ascii="Times New Roman" w:hAnsi="Times New Roman"/>
          <w:b/>
          <w:color w:val="0070C0"/>
          <w:lang w:val="sk-SK"/>
        </w:rPr>
        <w:tab/>
      </w:r>
      <w:r w:rsidR="00383B50" w:rsidRPr="00457183">
        <w:rPr>
          <w:rStyle w:val="tl3Char"/>
          <w:color w:val="0070C0"/>
          <w:sz w:val="24"/>
          <w:szCs w:val="24"/>
          <w:lang w:val="sk-SK"/>
        </w:rPr>
        <w:t>S</w:t>
      </w:r>
      <w:r w:rsidR="007B2B23" w:rsidRPr="00AF77F9">
        <w:rPr>
          <w:rStyle w:val="tl3Char"/>
          <w:color w:val="0070C0"/>
          <w:sz w:val="24"/>
          <w:szCs w:val="24"/>
          <w:lang w:val="sk-SK"/>
        </w:rPr>
        <w:t>YSTÉM RIADENIA RIZÍK</w:t>
      </w:r>
      <w:bookmarkEnd w:id="1"/>
      <w:bookmarkEnd w:id="12"/>
      <w:bookmarkEnd w:id="13"/>
    </w:p>
    <w:p w14:paraId="2D399743" w14:textId="57AD00E1" w:rsidR="00383B50" w:rsidRPr="003020E4" w:rsidRDefault="00383B50" w:rsidP="00C3571B">
      <w:pPr>
        <w:pStyle w:val="BodyText1"/>
        <w:spacing w:line="276" w:lineRule="auto"/>
        <w:rPr>
          <w:rFonts w:ascii="Times New Roman" w:hAnsi="Times New Roman"/>
          <w:color w:val="auto"/>
          <w:sz w:val="22"/>
          <w:szCs w:val="22"/>
          <w:lang w:val="sk-SK"/>
        </w:rPr>
      </w:pPr>
      <w:r w:rsidRPr="00457183">
        <w:rPr>
          <w:rFonts w:ascii="Times New Roman" w:hAnsi="Times New Roman"/>
          <w:color w:val="auto"/>
          <w:sz w:val="22"/>
          <w:szCs w:val="22"/>
          <w:lang w:val="sk-SK"/>
        </w:rPr>
        <w:t xml:space="preserve">Za </w:t>
      </w:r>
      <w:r w:rsidRPr="00450DEB">
        <w:rPr>
          <w:rFonts w:ascii="Times New Roman" w:hAnsi="Times New Roman"/>
          <w:b/>
          <w:color w:val="auto"/>
          <w:sz w:val="22"/>
          <w:szCs w:val="22"/>
          <w:lang w:val="sk-SK"/>
        </w:rPr>
        <w:t>riziko</w:t>
      </w:r>
      <w:r w:rsidRPr="00D42084">
        <w:rPr>
          <w:rFonts w:ascii="Times New Roman" w:hAnsi="Times New Roman"/>
          <w:color w:val="auto"/>
          <w:sz w:val="22"/>
          <w:szCs w:val="22"/>
          <w:lang w:val="sk-SK"/>
        </w:rPr>
        <w:t xml:space="preserve"> možno považovať udalosť, resp. jav, ktorý môže svojím negatívnym pôsobením viesť k nesplneniu alebo len k čiastočnému naplneniu </w:t>
      </w:r>
      <w:r w:rsidRPr="00450DEB">
        <w:rPr>
          <w:rFonts w:ascii="Times New Roman" w:hAnsi="Times New Roman"/>
          <w:color w:val="auto"/>
          <w:sz w:val="22"/>
          <w:szCs w:val="22"/>
          <w:lang w:val="sk-SK"/>
        </w:rPr>
        <w:t>cieľ</w:t>
      </w:r>
      <w:r w:rsidR="00635B1E" w:rsidRPr="00450DEB">
        <w:rPr>
          <w:rFonts w:ascii="Times New Roman" w:hAnsi="Times New Roman"/>
          <w:color w:val="auto"/>
          <w:sz w:val="22"/>
          <w:szCs w:val="22"/>
          <w:lang w:val="sk-SK"/>
        </w:rPr>
        <w:t>ov politík</w:t>
      </w:r>
      <w:r w:rsidRPr="00D42084">
        <w:rPr>
          <w:rFonts w:ascii="Times New Roman" w:hAnsi="Times New Roman"/>
          <w:color w:val="auto"/>
          <w:sz w:val="22"/>
          <w:szCs w:val="22"/>
          <w:lang w:val="sk-SK"/>
        </w:rPr>
        <w:t xml:space="preserve"> program</w:t>
      </w:r>
      <w:r w:rsidR="00635B1E" w:rsidRPr="00D42084">
        <w:rPr>
          <w:rFonts w:ascii="Times New Roman" w:hAnsi="Times New Roman"/>
          <w:color w:val="auto"/>
          <w:sz w:val="22"/>
          <w:szCs w:val="22"/>
          <w:lang w:val="sk-SK"/>
        </w:rPr>
        <w:t>ov</w:t>
      </w:r>
      <w:r w:rsidRPr="00B345AB">
        <w:rPr>
          <w:rFonts w:ascii="Times New Roman" w:hAnsi="Times New Roman"/>
          <w:color w:val="auto"/>
          <w:sz w:val="22"/>
          <w:szCs w:val="22"/>
          <w:lang w:val="sk-SK"/>
        </w:rPr>
        <w:t>, a tým ovplyvniť schopnosť dosiahnuť očakávan</w:t>
      </w:r>
      <w:r w:rsidR="00635B1E" w:rsidRPr="003020E4">
        <w:rPr>
          <w:rFonts w:ascii="Times New Roman" w:hAnsi="Times New Roman"/>
          <w:color w:val="auto"/>
          <w:sz w:val="22"/>
          <w:szCs w:val="22"/>
          <w:lang w:val="sk-SK"/>
        </w:rPr>
        <w:t>é výsledky</w:t>
      </w:r>
      <w:r w:rsidRPr="003020E4">
        <w:rPr>
          <w:rFonts w:ascii="Times New Roman" w:hAnsi="Times New Roman"/>
          <w:color w:val="auto"/>
          <w:sz w:val="22"/>
          <w:szCs w:val="22"/>
          <w:lang w:val="sk-SK"/>
        </w:rPr>
        <w:t>.</w:t>
      </w:r>
    </w:p>
    <w:p w14:paraId="2D399747" w14:textId="5973908F" w:rsidR="00383B50" w:rsidRPr="00457183" w:rsidRDefault="00383B50" w:rsidP="00C3571B">
      <w:pPr>
        <w:pStyle w:val="BodyText1"/>
        <w:spacing w:line="276" w:lineRule="auto"/>
        <w:rPr>
          <w:rFonts w:ascii="Times New Roman" w:hAnsi="Times New Roman"/>
          <w:color w:val="auto"/>
          <w:sz w:val="22"/>
          <w:szCs w:val="22"/>
          <w:lang w:val="sk-SK"/>
        </w:rPr>
      </w:pPr>
      <w:r w:rsidRPr="00450DEB">
        <w:rPr>
          <w:rFonts w:ascii="Times New Roman" w:hAnsi="Times New Roman"/>
          <w:b/>
          <w:color w:val="auto"/>
          <w:sz w:val="22"/>
          <w:szCs w:val="22"/>
          <w:lang w:val="sk-SK"/>
        </w:rPr>
        <w:t>Riadenie rizík</w:t>
      </w:r>
      <w:r w:rsidRPr="003020E4">
        <w:rPr>
          <w:rFonts w:ascii="Times New Roman" w:hAnsi="Times New Roman"/>
          <w:color w:val="auto"/>
          <w:sz w:val="22"/>
          <w:szCs w:val="22"/>
          <w:lang w:val="sk-SK"/>
        </w:rPr>
        <w:t xml:space="preserve"> je</w:t>
      </w:r>
      <w:r w:rsidR="009419BB">
        <w:rPr>
          <w:rFonts w:ascii="Times New Roman" w:hAnsi="Times New Roman"/>
          <w:color w:val="auto"/>
          <w:sz w:val="22"/>
          <w:szCs w:val="22"/>
          <w:lang w:val="sk-SK"/>
        </w:rPr>
        <w:t xml:space="preserve"> opakujúci sa</w:t>
      </w:r>
      <w:r w:rsidRPr="003020E4">
        <w:rPr>
          <w:rFonts w:ascii="Times New Roman" w:hAnsi="Times New Roman"/>
          <w:color w:val="auto"/>
          <w:sz w:val="22"/>
          <w:szCs w:val="22"/>
          <w:lang w:val="sk-SK"/>
        </w:rPr>
        <w:t xml:space="preserve"> </w:t>
      </w:r>
      <w:r w:rsidR="00564FA8" w:rsidRPr="003020E4">
        <w:rPr>
          <w:rFonts w:ascii="Times New Roman" w:hAnsi="Times New Roman"/>
          <w:color w:val="auto"/>
          <w:sz w:val="22"/>
          <w:szCs w:val="22"/>
          <w:lang w:val="sk-SK"/>
        </w:rPr>
        <w:t>proces, ktorý vykonáva</w:t>
      </w:r>
      <w:r w:rsidR="009419BB">
        <w:rPr>
          <w:rFonts w:ascii="Times New Roman" w:hAnsi="Times New Roman"/>
          <w:color w:val="auto"/>
          <w:sz w:val="22"/>
          <w:szCs w:val="22"/>
          <w:lang w:val="sk-SK"/>
        </w:rPr>
        <w:t xml:space="preserve"> tím pre riadenie rizík.</w:t>
      </w:r>
      <w:r w:rsidR="00564FA8" w:rsidRPr="003020E4">
        <w:rPr>
          <w:rFonts w:ascii="Times New Roman" w:hAnsi="Times New Roman"/>
          <w:color w:val="auto"/>
          <w:sz w:val="22"/>
          <w:szCs w:val="22"/>
          <w:lang w:val="sk-SK"/>
        </w:rPr>
        <w:t xml:space="preserve"> </w:t>
      </w:r>
      <w:r w:rsidR="009419BB">
        <w:rPr>
          <w:rFonts w:ascii="Times New Roman" w:hAnsi="Times New Roman"/>
          <w:color w:val="auto"/>
          <w:sz w:val="22"/>
          <w:szCs w:val="22"/>
          <w:lang w:val="sk-SK"/>
        </w:rPr>
        <w:t>V</w:t>
      </w:r>
      <w:r w:rsidR="00564FA8" w:rsidRPr="003020E4">
        <w:rPr>
          <w:rFonts w:ascii="Times New Roman" w:hAnsi="Times New Roman"/>
          <w:color w:val="auto"/>
          <w:sz w:val="22"/>
          <w:szCs w:val="22"/>
          <w:lang w:val="sk-SK"/>
        </w:rPr>
        <w:t>šetci zamestnanci</w:t>
      </w:r>
      <w:r w:rsidRPr="00457183">
        <w:rPr>
          <w:rFonts w:ascii="Times New Roman" w:hAnsi="Times New Roman"/>
          <w:color w:val="auto"/>
          <w:sz w:val="22"/>
          <w:szCs w:val="22"/>
          <w:lang w:val="sk-SK"/>
        </w:rPr>
        <w:t xml:space="preserve"> </w:t>
      </w:r>
      <w:r w:rsidR="009419BB">
        <w:rPr>
          <w:rFonts w:ascii="Times New Roman" w:hAnsi="Times New Roman"/>
          <w:color w:val="auto"/>
          <w:sz w:val="22"/>
          <w:szCs w:val="22"/>
          <w:lang w:val="sk-SK"/>
        </w:rPr>
        <w:t>RO sa podieľajú na implementácii prijatých opatrení</w:t>
      </w:r>
      <w:r w:rsidRPr="00457183">
        <w:rPr>
          <w:rFonts w:ascii="Times New Roman" w:hAnsi="Times New Roman"/>
          <w:color w:val="auto"/>
          <w:sz w:val="22"/>
          <w:szCs w:val="22"/>
          <w:lang w:val="sk-SK"/>
        </w:rPr>
        <w:t>.</w:t>
      </w:r>
    </w:p>
    <w:p w14:paraId="2D39974A" w14:textId="3F9D1DFF" w:rsidR="00383B50" w:rsidRPr="00457183" w:rsidRDefault="003007C6" w:rsidP="00C3571B">
      <w:pPr>
        <w:pStyle w:val="BodyText1"/>
        <w:spacing w:line="276" w:lineRule="auto"/>
        <w:rPr>
          <w:rFonts w:ascii="Times New Roman" w:hAnsi="Times New Roman"/>
          <w:color w:val="auto"/>
          <w:sz w:val="22"/>
          <w:szCs w:val="22"/>
          <w:lang w:val="sk-SK"/>
        </w:rPr>
      </w:pPr>
      <w:r w:rsidRPr="00443BC3">
        <w:rPr>
          <w:rFonts w:ascii="Times New Roman" w:hAnsi="Times New Roman"/>
          <w:color w:val="auto"/>
          <w:sz w:val="22"/>
          <w:szCs w:val="22"/>
          <w:lang w:val="sk-SK"/>
        </w:rPr>
        <w:t>Účelom tímu</w:t>
      </w:r>
      <w:r w:rsidR="007C5030" w:rsidRPr="00443BC3">
        <w:rPr>
          <w:rFonts w:ascii="Times New Roman" w:hAnsi="Times New Roman"/>
          <w:color w:val="auto"/>
          <w:sz w:val="22"/>
          <w:szCs w:val="22"/>
          <w:lang w:val="sk-SK"/>
        </w:rPr>
        <w:t xml:space="preserve"> </w:t>
      </w:r>
      <w:r w:rsidR="002D446A">
        <w:rPr>
          <w:rFonts w:ascii="Times New Roman" w:hAnsi="Times New Roman"/>
          <w:color w:val="auto"/>
          <w:sz w:val="22"/>
          <w:szCs w:val="22"/>
          <w:lang w:val="sk-SK"/>
        </w:rPr>
        <w:t> pre riadenie</w:t>
      </w:r>
      <w:r w:rsidR="007C5030" w:rsidRPr="00443BC3">
        <w:rPr>
          <w:rFonts w:ascii="Times New Roman" w:hAnsi="Times New Roman"/>
          <w:color w:val="auto"/>
          <w:sz w:val="22"/>
          <w:szCs w:val="22"/>
          <w:lang w:val="sk-SK"/>
        </w:rPr>
        <w:t xml:space="preserve"> rizík podvodov</w:t>
      </w:r>
      <w:r w:rsidR="008A4A8E">
        <w:rPr>
          <w:rFonts w:ascii="Times New Roman" w:hAnsi="Times New Roman"/>
          <w:color w:val="auto"/>
          <w:sz w:val="22"/>
          <w:szCs w:val="22"/>
          <w:lang w:val="sk-SK"/>
        </w:rPr>
        <w:t xml:space="preserve"> je vyhodnocovať a identifikovať</w:t>
      </w:r>
      <w:r w:rsidR="00383B50" w:rsidRPr="00457183">
        <w:rPr>
          <w:rFonts w:ascii="Times New Roman" w:hAnsi="Times New Roman"/>
          <w:color w:val="auto"/>
          <w:sz w:val="22"/>
          <w:szCs w:val="22"/>
          <w:lang w:val="sk-SK"/>
        </w:rPr>
        <w:t xml:space="preserve"> pre jednotlivé pr</w:t>
      </w:r>
      <w:r w:rsidR="002001E9" w:rsidRPr="00457183">
        <w:rPr>
          <w:rFonts w:ascii="Times New Roman" w:hAnsi="Times New Roman"/>
          <w:color w:val="auto"/>
          <w:sz w:val="22"/>
          <w:szCs w:val="22"/>
          <w:lang w:val="sk-SK"/>
        </w:rPr>
        <w:t xml:space="preserve">ocesné oblasti výkonu činností </w:t>
      </w:r>
      <w:r w:rsidR="00ED6495" w:rsidRPr="00457183">
        <w:rPr>
          <w:rFonts w:ascii="Times New Roman" w:hAnsi="Times New Roman"/>
          <w:color w:val="auto"/>
          <w:sz w:val="22"/>
          <w:szCs w:val="22"/>
          <w:lang w:val="sk-SK"/>
        </w:rPr>
        <w:t>R</w:t>
      </w:r>
      <w:r w:rsidR="00383B50" w:rsidRPr="00457183">
        <w:rPr>
          <w:rFonts w:ascii="Times New Roman" w:hAnsi="Times New Roman"/>
          <w:color w:val="auto"/>
          <w:sz w:val="22"/>
          <w:szCs w:val="22"/>
          <w:lang w:val="sk-SK"/>
        </w:rPr>
        <w:t>O po</w:t>
      </w:r>
      <w:r w:rsidR="007C5030" w:rsidRPr="00457183">
        <w:rPr>
          <w:rFonts w:ascii="Times New Roman" w:hAnsi="Times New Roman"/>
          <w:color w:val="auto"/>
          <w:sz w:val="22"/>
          <w:szCs w:val="22"/>
          <w:lang w:val="sk-SK"/>
        </w:rPr>
        <w:t xml:space="preserve">tenciálne </w:t>
      </w:r>
      <w:r w:rsidR="008A4A8E">
        <w:rPr>
          <w:rFonts w:ascii="Times New Roman" w:hAnsi="Times New Roman"/>
          <w:color w:val="auto"/>
          <w:sz w:val="22"/>
          <w:szCs w:val="22"/>
          <w:lang w:val="sk-SK"/>
        </w:rPr>
        <w:t xml:space="preserve">riziká </w:t>
      </w:r>
      <w:r w:rsidR="007C5030" w:rsidRPr="00457183">
        <w:rPr>
          <w:rFonts w:ascii="Times New Roman" w:hAnsi="Times New Roman"/>
          <w:color w:val="auto"/>
          <w:sz w:val="22"/>
          <w:szCs w:val="22"/>
          <w:lang w:val="sk-SK"/>
        </w:rPr>
        <w:t>podvodov</w:t>
      </w:r>
      <w:r w:rsidR="00383B50" w:rsidRPr="00457183">
        <w:rPr>
          <w:rFonts w:ascii="Times New Roman" w:hAnsi="Times New Roman"/>
          <w:color w:val="auto"/>
          <w:sz w:val="22"/>
          <w:szCs w:val="22"/>
          <w:lang w:val="sk-SK"/>
        </w:rPr>
        <w:t xml:space="preserve"> súvisiacich </w:t>
      </w:r>
      <w:r w:rsidR="002D446A">
        <w:rPr>
          <w:rFonts w:ascii="Times New Roman" w:hAnsi="Times New Roman"/>
          <w:color w:val="auto"/>
          <w:sz w:val="22"/>
          <w:szCs w:val="22"/>
          <w:lang w:val="sk-SK"/>
        </w:rPr>
        <w:t>s</w:t>
      </w:r>
      <w:r w:rsidR="002D446A" w:rsidRPr="00457183">
        <w:rPr>
          <w:rFonts w:ascii="Times New Roman" w:hAnsi="Times New Roman"/>
          <w:color w:val="auto"/>
          <w:sz w:val="22"/>
          <w:szCs w:val="22"/>
          <w:lang w:val="sk-SK"/>
        </w:rPr>
        <w:t xml:space="preserve"> </w:t>
      </w:r>
      <w:r w:rsidR="00383B50" w:rsidRPr="00457183">
        <w:rPr>
          <w:rFonts w:ascii="Times New Roman" w:hAnsi="Times New Roman"/>
          <w:color w:val="auto"/>
          <w:sz w:val="22"/>
          <w:szCs w:val="22"/>
          <w:lang w:val="sk-SK"/>
        </w:rPr>
        <w:t xml:space="preserve">implementáciou a následne navrhovať opatrenia na minimalizovanie pravdepodobnosti ich vzniku, resp. zníženie ich dopadu (závažnosti). </w:t>
      </w:r>
    </w:p>
    <w:p w14:paraId="2D39974B" w14:textId="1146B8C7" w:rsidR="00383B50" w:rsidRPr="00457183" w:rsidRDefault="003007C6" w:rsidP="00C3571B">
      <w:pPr>
        <w:pStyle w:val="BodyText1"/>
        <w:spacing w:line="276" w:lineRule="auto"/>
        <w:rPr>
          <w:rFonts w:ascii="Times New Roman" w:hAnsi="Times New Roman"/>
          <w:sz w:val="22"/>
          <w:szCs w:val="22"/>
          <w:lang w:val="sk-SK"/>
        </w:rPr>
      </w:pPr>
      <w:r w:rsidRPr="00457183">
        <w:rPr>
          <w:rFonts w:ascii="Times New Roman" w:hAnsi="Times New Roman"/>
          <w:sz w:val="22"/>
          <w:szCs w:val="22"/>
          <w:lang w:val="sk-SK"/>
        </w:rPr>
        <w:t xml:space="preserve">Komunikácia </w:t>
      </w:r>
      <w:r w:rsidRPr="00457183">
        <w:rPr>
          <w:rFonts w:ascii="Times New Roman" w:hAnsi="Times New Roman"/>
          <w:color w:val="auto"/>
          <w:sz w:val="22"/>
          <w:szCs w:val="22"/>
          <w:lang w:val="sk-SK"/>
        </w:rPr>
        <w:t>tím</w:t>
      </w:r>
      <w:r w:rsidR="00AF77F9">
        <w:rPr>
          <w:rFonts w:ascii="Times New Roman" w:hAnsi="Times New Roman"/>
          <w:color w:val="auto"/>
          <w:sz w:val="22"/>
          <w:szCs w:val="22"/>
          <w:lang w:val="sk-SK"/>
        </w:rPr>
        <w:t>u</w:t>
      </w:r>
      <w:r w:rsidRPr="00457183">
        <w:rPr>
          <w:rFonts w:ascii="Times New Roman" w:hAnsi="Times New Roman"/>
          <w:color w:val="auto"/>
          <w:sz w:val="22"/>
          <w:szCs w:val="22"/>
          <w:lang w:val="sk-SK"/>
        </w:rPr>
        <w:t xml:space="preserve"> </w:t>
      </w:r>
      <w:r w:rsidR="002D446A">
        <w:rPr>
          <w:rFonts w:ascii="Times New Roman" w:hAnsi="Times New Roman"/>
          <w:color w:val="auto"/>
          <w:sz w:val="22"/>
          <w:szCs w:val="22"/>
          <w:lang w:val="sk-SK"/>
        </w:rPr>
        <w:t> pre riadenie</w:t>
      </w:r>
      <w:r w:rsidRPr="00457183">
        <w:rPr>
          <w:rFonts w:ascii="Times New Roman" w:hAnsi="Times New Roman"/>
          <w:color w:val="auto"/>
          <w:sz w:val="22"/>
          <w:szCs w:val="22"/>
          <w:lang w:val="sk-SK"/>
        </w:rPr>
        <w:t xml:space="preserve"> rizík</w:t>
      </w:r>
      <w:r w:rsidR="007C5030" w:rsidRPr="00457183">
        <w:rPr>
          <w:rFonts w:ascii="Times New Roman" w:hAnsi="Times New Roman"/>
          <w:color w:val="auto"/>
          <w:sz w:val="22"/>
          <w:szCs w:val="22"/>
          <w:lang w:val="sk-SK"/>
        </w:rPr>
        <w:t xml:space="preserve"> podvodov</w:t>
      </w:r>
      <w:r w:rsidR="00383B50" w:rsidRPr="00457183">
        <w:rPr>
          <w:rFonts w:ascii="Times New Roman" w:hAnsi="Times New Roman"/>
          <w:sz w:val="22"/>
          <w:szCs w:val="22"/>
          <w:lang w:val="sk-SK"/>
        </w:rPr>
        <w:t xml:space="preserve"> sa vykonáva v elektronickej forme (zväčša e-mailom).</w:t>
      </w:r>
    </w:p>
    <w:p w14:paraId="2D39974C" w14:textId="7D283942" w:rsidR="00383B50" w:rsidRPr="00450DEB" w:rsidRDefault="007C5030" w:rsidP="00C3571B">
      <w:pPr>
        <w:pStyle w:val="BodyText1"/>
        <w:spacing w:line="276" w:lineRule="auto"/>
        <w:rPr>
          <w:rFonts w:ascii="Times New Roman" w:hAnsi="Times New Roman"/>
          <w:b/>
          <w:color w:val="auto"/>
          <w:sz w:val="22"/>
          <w:szCs w:val="22"/>
          <w:lang w:val="sk-SK"/>
        </w:rPr>
      </w:pPr>
      <w:r w:rsidRPr="00450DEB">
        <w:rPr>
          <w:rFonts w:ascii="Times New Roman" w:hAnsi="Times New Roman"/>
          <w:b/>
          <w:color w:val="auto"/>
          <w:sz w:val="22"/>
          <w:szCs w:val="22"/>
          <w:lang w:val="sk-SK"/>
        </w:rPr>
        <w:t xml:space="preserve">Tím </w:t>
      </w:r>
      <w:r w:rsidR="007C5509">
        <w:rPr>
          <w:rFonts w:ascii="Times New Roman" w:hAnsi="Times New Roman"/>
          <w:b/>
          <w:color w:val="auto"/>
          <w:sz w:val="22"/>
          <w:szCs w:val="22"/>
          <w:lang w:val="sk-SK"/>
        </w:rPr>
        <w:t>pre riadenie</w:t>
      </w:r>
      <w:r w:rsidRPr="00450DEB">
        <w:rPr>
          <w:rFonts w:ascii="Times New Roman" w:hAnsi="Times New Roman"/>
          <w:b/>
          <w:color w:val="auto"/>
          <w:sz w:val="22"/>
          <w:szCs w:val="22"/>
          <w:lang w:val="sk-SK"/>
        </w:rPr>
        <w:t xml:space="preserve"> rizík podvodov</w:t>
      </w:r>
      <w:r w:rsidR="00383B50" w:rsidRPr="00450DEB">
        <w:rPr>
          <w:rFonts w:ascii="Times New Roman" w:hAnsi="Times New Roman"/>
          <w:b/>
          <w:color w:val="auto"/>
          <w:sz w:val="22"/>
          <w:szCs w:val="22"/>
          <w:lang w:val="sk-SK"/>
        </w:rPr>
        <w:t xml:space="preserve"> zasadá minimálne jedenkrát za k</w:t>
      </w:r>
      <w:r w:rsidR="002001E9" w:rsidRPr="00450DEB">
        <w:rPr>
          <w:rFonts w:ascii="Times New Roman" w:hAnsi="Times New Roman"/>
          <w:b/>
          <w:color w:val="auto"/>
          <w:sz w:val="22"/>
          <w:szCs w:val="22"/>
          <w:lang w:val="sk-SK"/>
        </w:rPr>
        <w:t>ale</w:t>
      </w:r>
      <w:r w:rsidR="00594A95" w:rsidRPr="00450DEB">
        <w:rPr>
          <w:rFonts w:ascii="Times New Roman" w:hAnsi="Times New Roman"/>
          <w:b/>
          <w:color w:val="auto"/>
          <w:sz w:val="22"/>
          <w:szCs w:val="22"/>
          <w:lang w:val="sk-SK"/>
        </w:rPr>
        <w:t>ndárny rok, vždy do 31. marca</w:t>
      </w:r>
      <w:r w:rsidR="00383B50" w:rsidRPr="00450DEB">
        <w:rPr>
          <w:rFonts w:ascii="Times New Roman" w:hAnsi="Times New Roman"/>
          <w:b/>
          <w:color w:val="auto"/>
          <w:sz w:val="22"/>
          <w:szCs w:val="22"/>
          <w:lang w:val="sk-SK"/>
        </w:rPr>
        <w:t xml:space="preserve"> príslušného kalendárneho roka. </w:t>
      </w:r>
    </w:p>
    <w:p w14:paraId="1AA542D6" w14:textId="246E0983" w:rsidR="00BE530A" w:rsidRDefault="007C5030" w:rsidP="00C3571B">
      <w:pPr>
        <w:pStyle w:val="BodyText1"/>
        <w:spacing w:line="276" w:lineRule="auto"/>
        <w:rPr>
          <w:rFonts w:ascii="Times New Roman" w:hAnsi="Times New Roman"/>
          <w:color w:val="auto"/>
          <w:sz w:val="22"/>
          <w:szCs w:val="22"/>
          <w:lang w:val="sk-SK"/>
        </w:rPr>
      </w:pPr>
      <w:r w:rsidRPr="00457183">
        <w:rPr>
          <w:rFonts w:ascii="Times New Roman" w:hAnsi="Times New Roman"/>
          <w:color w:val="auto"/>
          <w:sz w:val="22"/>
          <w:szCs w:val="22"/>
          <w:lang w:val="sk-SK"/>
        </w:rPr>
        <w:t xml:space="preserve">Tím </w:t>
      </w:r>
      <w:r w:rsidR="007C5509">
        <w:rPr>
          <w:rFonts w:ascii="Times New Roman" w:hAnsi="Times New Roman"/>
          <w:color w:val="auto"/>
          <w:sz w:val="22"/>
          <w:szCs w:val="22"/>
          <w:lang w:val="sk-SK"/>
        </w:rPr>
        <w:t xml:space="preserve">pre riadenie </w:t>
      </w:r>
      <w:r w:rsidRPr="00457183">
        <w:rPr>
          <w:rFonts w:ascii="Times New Roman" w:hAnsi="Times New Roman"/>
          <w:color w:val="auto"/>
          <w:sz w:val="22"/>
          <w:szCs w:val="22"/>
          <w:lang w:val="sk-SK"/>
        </w:rPr>
        <w:t>rizík podvodov</w:t>
      </w:r>
      <w:r w:rsidR="00383B50" w:rsidRPr="00457183">
        <w:rPr>
          <w:rFonts w:ascii="Times New Roman" w:hAnsi="Times New Roman"/>
          <w:color w:val="auto"/>
          <w:sz w:val="22"/>
          <w:szCs w:val="22"/>
          <w:lang w:val="sk-SK"/>
        </w:rPr>
        <w:t xml:space="preserve"> môže zasadať aj mimoriadne, </w:t>
      </w:r>
      <w:r w:rsidR="002001E9" w:rsidRPr="00457183">
        <w:rPr>
          <w:rFonts w:ascii="Times New Roman" w:hAnsi="Times New Roman"/>
          <w:color w:val="auto"/>
          <w:sz w:val="22"/>
          <w:szCs w:val="22"/>
          <w:lang w:val="sk-SK"/>
        </w:rPr>
        <w:t>na základe p</w:t>
      </w:r>
      <w:r w:rsidR="003007C6" w:rsidRPr="00457183">
        <w:rPr>
          <w:rFonts w:ascii="Times New Roman" w:hAnsi="Times New Roman"/>
          <w:color w:val="auto"/>
          <w:sz w:val="22"/>
          <w:szCs w:val="22"/>
          <w:lang w:val="sk-SK"/>
        </w:rPr>
        <w:t>odnetov členov tímu</w:t>
      </w:r>
      <w:r w:rsidRPr="00457183">
        <w:rPr>
          <w:rFonts w:ascii="Times New Roman" w:hAnsi="Times New Roman"/>
          <w:color w:val="auto"/>
          <w:sz w:val="22"/>
          <w:szCs w:val="22"/>
          <w:lang w:val="sk-SK"/>
        </w:rPr>
        <w:t xml:space="preserve"> </w:t>
      </w:r>
      <w:r w:rsidR="002D446A">
        <w:rPr>
          <w:rFonts w:ascii="Times New Roman" w:hAnsi="Times New Roman"/>
          <w:color w:val="auto"/>
          <w:sz w:val="22"/>
          <w:szCs w:val="22"/>
          <w:lang w:val="sk-SK"/>
        </w:rPr>
        <w:t> pre riadenie</w:t>
      </w:r>
      <w:r w:rsidRPr="00457183">
        <w:rPr>
          <w:rFonts w:ascii="Times New Roman" w:hAnsi="Times New Roman"/>
          <w:color w:val="auto"/>
          <w:sz w:val="22"/>
          <w:szCs w:val="22"/>
          <w:lang w:val="sk-SK"/>
        </w:rPr>
        <w:t xml:space="preserve"> rizík podvodov</w:t>
      </w:r>
      <w:r w:rsidR="00383B50" w:rsidRPr="00457183">
        <w:rPr>
          <w:rFonts w:ascii="Times New Roman" w:hAnsi="Times New Roman"/>
          <w:color w:val="auto"/>
          <w:sz w:val="22"/>
          <w:szCs w:val="22"/>
          <w:lang w:val="sk-SK"/>
        </w:rPr>
        <w:t>, vždy keď okolnosti v oblasti riadenia rizík budú vyžadovať neodkladné úpravy riadiacich a kontrol</w:t>
      </w:r>
      <w:r w:rsidR="009463E5" w:rsidRPr="00457183">
        <w:rPr>
          <w:rFonts w:ascii="Times New Roman" w:hAnsi="Times New Roman"/>
          <w:color w:val="auto"/>
          <w:sz w:val="22"/>
          <w:szCs w:val="22"/>
          <w:lang w:val="sk-SK"/>
        </w:rPr>
        <w:t>ných systémov, úpravy v platnom zozname</w:t>
      </w:r>
      <w:r w:rsidR="00383B50" w:rsidRPr="00457183">
        <w:rPr>
          <w:rFonts w:ascii="Times New Roman" w:hAnsi="Times New Roman"/>
          <w:color w:val="auto"/>
          <w:sz w:val="22"/>
          <w:szCs w:val="22"/>
          <w:lang w:val="sk-SK"/>
        </w:rPr>
        <w:t xml:space="preserve"> rizík</w:t>
      </w:r>
      <w:r w:rsidR="00A30CBC" w:rsidRPr="00457183">
        <w:rPr>
          <w:rFonts w:ascii="Times New Roman" w:hAnsi="Times New Roman"/>
          <w:color w:val="auto"/>
          <w:sz w:val="22"/>
          <w:szCs w:val="22"/>
          <w:lang w:val="sk-SK"/>
        </w:rPr>
        <w:t xml:space="preserve"> podvodov</w:t>
      </w:r>
      <w:r w:rsidR="00383B50" w:rsidRPr="00457183">
        <w:rPr>
          <w:rFonts w:ascii="Times New Roman" w:hAnsi="Times New Roman"/>
          <w:color w:val="auto"/>
          <w:sz w:val="22"/>
          <w:szCs w:val="22"/>
          <w:lang w:val="sk-SK"/>
        </w:rPr>
        <w:t>, resp. pri prerokovaní a prijatí nových „dodatočných/doplnkových“ opatrení na elimináciu rizík alebo úprave existujúcich postupov pre elimináciu rizík. Vykonávanie činností</w:t>
      </w:r>
      <w:r w:rsidR="002D446A">
        <w:rPr>
          <w:rFonts w:ascii="Times New Roman" w:hAnsi="Times New Roman"/>
          <w:color w:val="auto"/>
          <w:sz w:val="22"/>
          <w:szCs w:val="22"/>
          <w:lang w:val="sk-SK"/>
        </w:rPr>
        <w:t>,</w:t>
      </w:r>
      <w:r w:rsidR="00383B50" w:rsidRPr="00457183">
        <w:rPr>
          <w:rFonts w:ascii="Times New Roman" w:hAnsi="Times New Roman"/>
          <w:color w:val="auto"/>
          <w:sz w:val="22"/>
          <w:szCs w:val="22"/>
          <w:lang w:val="sk-SK"/>
        </w:rPr>
        <w:t xml:space="preserve"> </w:t>
      </w:r>
      <w:r w:rsidR="002001E9" w:rsidRPr="00457183">
        <w:rPr>
          <w:rFonts w:ascii="Times New Roman" w:hAnsi="Times New Roman"/>
          <w:color w:val="auto"/>
          <w:sz w:val="22"/>
          <w:szCs w:val="22"/>
          <w:lang w:val="sk-SK"/>
        </w:rPr>
        <w:t>ako aj rozhodov</w:t>
      </w:r>
      <w:r w:rsidR="003007C6" w:rsidRPr="00457183">
        <w:rPr>
          <w:rFonts w:ascii="Times New Roman" w:hAnsi="Times New Roman"/>
          <w:color w:val="auto"/>
          <w:sz w:val="22"/>
          <w:szCs w:val="22"/>
          <w:lang w:val="sk-SK"/>
        </w:rPr>
        <w:t>anie zo strany t</w:t>
      </w:r>
      <w:r w:rsidRPr="00457183">
        <w:rPr>
          <w:rFonts w:ascii="Times New Roman" w:hAnsi="Times New Roman"/>
          <w:color w:val="auto"/>
          <w:sz w:val="22"/>
          <w:szCs w:val="22"/>
          <w:lang w:val="sk-SK"/>
        </w:rPr>
        <w:t>ím</w:t>
      </w:r>
      <w:r w:rsidR="00457183" w:rsidRPr="00457183">
        <w:rPr>
          <w:rFonts w:ascii="Times New Roman" w:hAnsi="Times New Roman"/>
          <w:color w:val="auto"/>
          <w:sz w:val="22"/>
          <w:szCs w:val="22"/>
          <w:lang w:val="sk-SK"/>
        </w:rPr>
        <w:t>u</w:t>
      </w:r>
      <w:r w:rsidRPr="00457183">
        <w:rPr>
          <w:rFonts w:ascii="Times New Roman" w:hAnsi="Times New Roman"/>
          <w:color w:val="auto"/>
          <w:sz w:val="22"/>
          <w:szCs w:val="22"/>
          <w:lang w:val="sk-SK"/>
        </w:rPr>
        <w:t xml:space="preserve"> </w:t>
      </w:r>
      <w:r w:rsidR="007C5509">
        <w:rPr>
          <w:rFonts w:ascii="Times New Roman" w:hAnsi="Times New Roman"/>
          <w:color w:val="auto"/>
          <w:sz w:val="22"/>
          <w:szCs w:val="22"/>
          <w:lang w:val="sk-SK"/>
        </w:rPr>
        <w:t>pre riadenie</w:t>
      </w:r>
      <w:r w:rsidRPr="00457183">
        <w:rPr>
          <w:rFonts w:ascii="Times New Roman" w:hAnsi="Times New Roman"/>
          <w:color w:val="auto"/>
          <w:sz w:val="22"/>
          <w:szCs w:val="22"/>
          <w:lang w:val="sk-SK"/>
        </w:rPr>
        <w:t xml:space="preserve"> rizík podvodov</w:t>
      </w:r>
      <w:r w:rsidR="00383B50" w:rsidRPr="00457183">
        <w:rPr>
          <w:rFonts w:ascii="Times New Roman" w:hAnsi="Times New Roman"/>
          <w:color w:val="auto"/>
          <w:sz w:val="22"/>
          <w:szCs w:val="22"/>
          <w:lang w:val="sk-SK"/>
        </w:rPr>
        <w:t xml:space="preserve"> je možné aj formou per rollam.</w:t>
      </w:r>
      <w:r w:rsidR="00F64087">
        <w:rPr>
          <w:rFonts w:ascii="Times New Roman" w:hAnsi="Times New Roman"/>
          <w:color w:val="auto"/>
          <w:sz w:val="22"/>
          <w:szCs w:val="22"/>
          <w:lang w:val="sk-SK"/>
        </w:rPr>
        <w:t xml:space="preserve"> </w:t>
      </w:r>
      <w:r w:rsidR="003007C6" w:rsidRPr="003020E4">
        <w:rPr>
          <w:rFonts w:ascii="Times New Roman" w:hAnsi="Times New Roman"/>
          <w:sz w:val="22"/>
          <w:szCs w:val="22"/>
        </w:rPr>
        <w:t>Na zasadnutia tímu</w:t>
      </w:r>
      <w:r w:rsidRPr="003020E4">
        <w:rPr>
          <w:rFonts w:ascii="Times New Roman" w:hAnsi="Times New Roman"/>
          <w:sz w:val="22"/>
          <w:szCs w:val="22"/>
        </w:rPr>
        <w:t xml:space="preserve"> </w:t>
      </w:r>
      <w:r w:rsidR="007C5509">
        <w:rPr>
          <w:rFonts w:ascii="Times New Roman" w:hAnsi="Times New Roman"/>
          <w:sz w:val="22"/>
          <w:szCs w:val="22"/>
        </w:rPr>
        <w:t xml:space="preserve">pre riadenie </w:t>
      </w:r>
      <w:r w:rsidRPr="003020E4">
        <w:rPr>
          <w:rFonts w:ascii="Times New Roman" w:hAnsi="Times New Roman"/>
          <w:sz w:val="22"/>
          <w:szCs w:val="22"/>
        </w:rPr>
        <w:t>rizík podvodov</w:t>
      </w:r>
      <w:r w:rsidR="002001E9" w:rsidRPr="003020E4">
        <w:rPr>
          <w:rFonts w:ascii="Times New Roman" w:hAnsi="Times New Roman"/>
          <w:sz w:val="22"/>
          <w:szCs w:val="22"/>
        </w:rPr>
        <w:t xml:space="preserve"> zvoláva riaditeľ OZP všetkých členov</w:t>
      </w:r>
      <w:r w:rsidR="00383B50" w:rsidRPr="003020E4">
        <w:rPr>
          <w:rFonts w:ascii="Times New Roman" w:hAnsi="Times New Roman"/>
          <w:sz w:val="22"/>
          <w:szCs w:val="22"/>
        </w:rPr>
        <w:t>.</w:t>
      </w:r>
      <w:r w:rsidR="00F64087">
        <w:rPr>
          <w:rFonts w:ascii="Times New Roman" w:hAnsi="Times New Roman"/>
          <w:color w:val="auto"/>
          <w:sz w:val="22"/>
          <w:szCs w:val="22"/>
          <w:lang w:val="sk-SK"/>
        </w:rPr>
        <w:t xml:space="preserve"> </w:t>
      </w:r>
      <w:r w:rsidR="00383B50" w:rsidRPr="006A1A7F">
        <w:rPr>
          <w:rFonts w:ascii="Times New Roman" w:hAnsi="Times New Roman"/>
          <w:color w:val="auto"/>
          <w:sz w:val="22"/>
          <w:szCs w:val="22"/>
          <w:lang w:val="sk-SK"/>
        </w:rPr>
        <w:t xml:space="preserve">O riadnych ako aj mimoriadnych zasadnutiach </w:t>
      </w:r>
      <w:r w:rsidR="002001E9" w:rsidRPr="006A1A7F">
        <w:rPr>
          <w:rFonts w:ascii="Times New Roman" w:hAnsi="Times New Roman"/>
          <w:color w:val="auto"/>
          <w:sz w:val="22"/>
          <w:szCs w:val="22"/>
          <w:lang w:val="sk-SK"/>
        </w:rPr>
        <w:t xml:space="preserve">sa </w:t>
      </w:r>
      <w:r w:rsidR="00383B50" w:rsidRPr="006A1A7F">
        <w:rPr>
          <w:rFonts w:ascii="Times New Roman" w:hAnsi="Times New Roman"/>
          <w:color w:val="auto"/>
          <w:sz w:val="22"/>
          <w:szCs w:val="22"/>
          <w:lang w:val="sk-SK"/>
        </w:rPr>
        <w:t>v</w:t>
      </w:r>
      <w:r w:rsidR="00540F0E" w:rsidRPr="006A1A7F">
        <w:rPr>
          <w:rFonts w:ascii="Times New Roman" w:hAnsi="Times New Roman"/>
          <w:color w:val="auto"/>
          <w:sz w:val="22"/>
          <w:szCs w:val="22"/>
          <w:lang w:val="sk-SK"/>
        </w:rPr>
        <w:t>ypracú</w:t>
      </w:r>
      <w:r w:rsidR="002001E9" w:rsidRPr="006A1A7F">
        <w:rPr>
          <w:rFonts w:ascii="Times New Roman" w:hAnsi="Times New Roman"/>
          <w:color w:val="auto"/>
          <w:sz w:val="22"/>
          <w:szCs w:val="22"/>
          <w:lang w:val="sk-SK"/>
        </w:rPr>
        <w:t xml:space="preserve">va </w:t>
      </w:r>
      <w:r w:rsidR="00540F0E" w:rsidRPr="006A1A7F">
        <w:rPr>
          <w:rFonts w:ascii="Times New Roman" w:hAnsi="Times New Roman"/>
          <w:color w:val="auto"/>
          <w:sz w:val="22"/>
          <w:szCs w:val="22"/>
          <w:lang w:val="sk-SK"/>
        </w:rPr>
        <w:t>zápisnica</w:t>
      </w:r>
      <w:r w:rsidR="00383B50" w:rsidRPr="006A1A7F">
        <w:rPr>
          <w:rFonts w:ascii="Times New Roman" w:hAnsi="Times New Roman"/>
          <w:color w:val="auto"/>
          <w:sz w:val="22"/>
          <w:szCs w:val="22"/>
          <w:lang w:val="sk-SK"/>
        </w:rPr>
        <w:t>.</w:t>
      </w:r>
    </w:p>
    <w:p w14:paraId="6831390B" w14:textId="77777777" w:rsidR="000A6CF0" w:rsidRPr="006A1A7F" w:rsidRDefault="000A6CF0" w:rsidP="00C3571B">
      <w:pPr>
        <w:pStyle w:val="BodyText1"/>
        <w:spacing w:line="276" w:lineRule="auto"/>
        <w:rPr>
          <w:rFonts w:ascii="Times New Roman" w:hAnsi="Times New Roman"/>
          <w:sz w:val="22"/>
          <w:szCs w:val="22"/>
          <w:lang w:val="sk-SK"/>
        </w:rPr>
      </w:pPr>
    </w:p>
    <w:p w14:paraId="2D399754" w14:textId="288C0066" w:rsidR="00383B50" w:rsidRPr="00243439" w:rsidRDefault="004663FD" w:rsidP="00CB23F4">
      <w:pPr>
        <w:pStyle w:val="Nadpis2"/>
        <w:spacing w:line="276" w:lineRule="auto"/>
        <w:ind w:left="284" w:hanging="284"/>
        <w:rPr>
          <w:rFonts w:ascii="Times New Roman" w:hAnsi="Times New Roman"/>
          <w:b/>
          <w:color w:val="0070C0"/>
          <w:lang w:val="sk-SK"/>
        </w:rPr>
      </w:pPr>
      <w:bookmarkStart w:id="14" w:name="_Toc45873727"/>
      <w:bookmarkStart w:id="15" w:name="_Toc420332615"/>
      <w:bookmarkStart w:id="16" w:name="_Toc97642160"/>
      <w:r w:rsidRPr="00243439">
        <w:rPr>
          <w:rFonts w:ascii="Times New Roman" w:hAnsi="Times New Roman"/>
          <w:b/>
          <w:color w:val="0070C0"/>
          <w:lang w:val="sk-SK"/>
        </w:rPr>
        <w:t xml:space="preserve">5. </w:t>
      </w:r>
      <w:r w:rsidRPr="00243439">
        <w:rPr>
          <w:rFonts w:ascii="Times New Roman" w:hAnsi="Times New Roman"/>
          <w:b/>
          <w:color w:val="0070C0"/>
          <w:lang w:val="sk-SK"/>
        </w:rPr>
        <w:tab/>
      </w:r>
      <w:r w:rsidR="00383B50" w:rsidRPr="00243439">
        <w:rPr>
          <w:rStyle w:val="tl3Char"/>
          <w:color w:val="0070C0"/>
          <w:sz w:val="24"/>
          <w:szCs w:val="24"/>
          <w:lang w:val="sk-SK"/>
        </w:rPr>
        <w:t>F</w:t>
      </w:r>
      <w:r w:rsidR="006A1A7F" w:rsidRPr="006A1A7F">
        <w:rPr>
          <w:rStyle w:val="tl3Char"/>
          <w:color w:val="0070C0"/>
          <w:sz w:val="24"/>
          <w:szCs w:val="24"/>
          <w:lang w:val="sk-SK"/>
        </w:rPr>
        <w:t>ÁZY RIADENIA RIZÍK</w:t>
      </w:r>
      <w:bookmarkEnd w:id="14"/>
      <w:bookmarkEnd w:id="15"/>
      <w:bookmarkEnd w:id="16"/>
    </w:p>
    <w:p w14:paraId="2D399755" w14:textId="29B99B5C" w:rsidR="00383B50" w:rsidRPr="006A1A7F" w:rsidRDefault="00383B50" w:rsidP="00C3571B">
      <w:pPr>
        <w:pStyle w:val="BodyText1"/>
        <w:spacing w:line="276" w:lineRule="auto"/>
        <w:rPr>
          <w:rFonts w:ascii="Times New Roman" w:hAnsi="Times New Roman"/>
          <w:color w:val="auto"/>
          <w:sz w:val="22"/>
          <w:szCs w:val="22"/>
          <w:lang w:val="sk-SK"/>
        </w:rPr>
      </w:pPr>
      <w:r w:rsidRPr="006A1A7F">
        <w:rPr>
          <w:rFonts w:ascii="Times New Roman" w:hAnsi="Times New Roman"/>
          <w:color w:val="auto"/>
          <w:sz w:val="22"/>
          <w:szCs w:val="22"/>
          <w:lang w:val="sk-SK"/>
        </w:rPr>
        <w:t>V rámci Systému riadenia rizík sa vykonávajú činnosti v rámci nasledujúcich fáz:</w:t>
      </w:r>
    </w:p>
    <w:p w14:paraId="2D399756" w14:textId="77777777" w:rsidR="00383B50" w:rsidRPr="006A1A7F" w:rsidRDefault="00383B50" w:rsidP="00C3571B">
      <w:pPr>
        <w:pStyle w:val="BodyText1"/>
        <w:numPr>
          <w:ilvl w:val="0"/>
          <w:numId w:val="2"/>
        </w:numPr>
        <w:spacing w:line="276" w:lineRule="auto"/>
        <w:rPr>
          <w:rFonts w:ascii="Times New Roman" w:hAnsi="Times New Roman"/>
          <w:color w:val="auto"/>
          <w:sz w:val="22"/>
          <w:szCs w:val="22"/>
          <w:lang w:val="sk-SK"/>
        </w:rPr>
      </w:pPr>
      <w:r w:rsidRPr="006A1A7F">
        <w:rPr>
          <w:rFonts w:ascii="Times New Roman" w:hAnsi="Times New Roman"/>
          <w:color w:val="auto"/>
          <w:sz w:val="22"/>
          <w:szCs w:val="22"/>
          <w:lang w:val="sk-SK"/>
        </w:rPr>
        <w:t>Identifikácia rizík</w:t>
      </w:r>
    </w:p>
    <w:p w14:paraId="2D399757" w14:textId="77777777" w:rsidR="00383B50" w:rsidRPr="006A1A7F" w:rsidRDefault="00383B50" w:rsidP="00C3571B">
      <w:pPr>
        <w:pStyle w:val="BodyText1"/>
        <w:numPr>
          <w:ilvl w:val="0"/>
          <w:numId w:val="2"/>
        </w:numPr>
        <w:spacing w:line="276" w:lineRule="auto"/>
        <w:rPr>
          <w:rFonts w:ascii="Times New Roman" w:hAnsi="Times New Roman"/>
          <w:color w:val="auto"/>
          <w:sz w:val="22"/>
          <w:szCs w:val="22"/>
          <w:lang w:val="sk-SK"/>
        </w:rPr>
      </w:pPr>
      <w:r w:rsidRPr="006A1A7F">
        <w:rPr>
          <w:rFonts w:ascii="Times New Roman" w:hAnsi="Times New Roman"/>
          <w:color w:val="auto"/>
          <w:sz w:val="22"/>
          <w:szCs w:val="22"/>
          <w:lang w:val="sk-SK"/>
        </w:rPr>
        <w:t>Analýza a hodnotenie rizík</w:t>
      </w:r>
    </w:p>
    <w:p w14:paraId="2D399758" w14:textId="77777777" w:rsidR="00383B50" w:rsidRPr="006A1A7F" w:rsidRDefault="00383B50" w:rsidP="00C3571B">
      <w:pPr>
        <w:pStyle w:val="BodyText1"/>
        <w:numPr>
          <w:ilvl w:val="0"/>
          <w:numId w:val="2"/>
        </w:numPr>
        <w:spacing w:line="276" w:lineRule="auto"/>
        <w:rPr>
          <w:rFonts w:ascii="Times New Roman" w:hAnsi="Times New Roman"/>
          <w:color w:val="auto"/>
          <w:sz w:val="22"/>
          <w:szCs w:val="22"/>
          <w:lang w:val="sk-SK"/>
        </w:rPr>
      </w:pPr>
      <w:r w:rsidRPr="006A1A7F">
        <w:rPr>
          <w:rFonts w:ascii="Times New Roman" w:hAnsi="Times New Roman"/>
          <w:color w:val="auto"/>
          <w:sz w:val="22"/>
          <w:szCs w:val="22"/>
          <w:lang w:val="sk-SK"/>
        </w:rPr>
        <w:t>Definovanie existujúcich kontrolných mechanizmov</w:t>
      </w:r>
    </w:p>
    <w:p w14:paraId="2D399759" w14:textId="77777777" w:rsidR="00383B50" w:rsidRPr="006A1A7F" w:rsidRDefault="00383B50" w:rsidP="00C3571B">
      <w:pPr>
        <w:pStyle w:val="BodyText1"/>
        <w:numPr>
          <w:ilvl w:val="0"/>
          <w:numId w:val="2"/>
        </w:numPr>
        <w:spacing w:line="276" w:lineRule="auto"/>
        <w:rPr>
          <w:rFonts w:ascii="Times New Roman" w:hAnsi="Times New Roman"/>
          <w:color w:val="auto"/>
          <w:sz w:val="22"/>
          <w:szCs w:val="22"/>
          <w:lang w:val="sk-SK"/>
        </w:rPr>
      </w:pPr>
      <w:r w:rsidRPr="006A1A7F">
        <w:rPr>
          <w:rFonts w:ascii="Times New Roman" w:hAnsi="Times New Roman"/>
          <w:color w:val="auto"/>
          <w:sz w:val="22"/>
          <w:szCs w:val="22"/>
          <w:lang w:val="sk-SK"/>
        </w:rPr>
        <w:lastRenderedPageBreak/>
        <w:t>Navrhovanie opatrení a termínov</w:t>
      </w:r>
    </w:p>
    <w:p w14:paraId="2D39975A" w14:textId="77777777" w:rsidR="00383B50" w:rsidRPr="006A1A7F" w:rsidRDefault="00383B50" w:rsidP="00C3571B">
      <w:pPr>
        <w:pStyle w:val="BodyText1"/>
        <w:numPr>
          <w:ilvl w:val="0"/>
          <w:numId w:val="2"/>
        </w:numPr>
        <w:spacing w:line="276" w:lineRule="auto"/>
        <w:rPr>
          <w:rFonts w:ascii="Times New Roman" w:hAnsi="Times New Roman"/>
          <w:color w:val="auto"/>
          <w:sz w:val="22"/>
          <w:szCs w:val="22"/>
          <w:lang w:val="sk-SK"/>
        </w:rPr>
      </w:pPr>
      <w:r w:rsidRPr="006A1A7F">
        <w:rPr>
          <w:rFonts w:ascii="Times New Roman" w:hAnsi="Times New Roman"/>
          <w:color w:val="auto"/>
          <w:sz w:val="22"/>
          <w:szCs w:val="22"/>
          <w:lang w:val="sk-SK"/>
        </w:rPr>
        <w:t xml:space="preserve">Monitorovanie rizík a prijatých opatrení </w:t>
      </w:r>
    </w:p>
    <w:p w14:paraId="2D39975B" w14:textId="477091A4" w:rsidR="00383B50" w:rsidRPr="00450DEB" w:rsidRDefault="004663FD" w:rsidP="004D0D4A">
      <w:pPr>
        <w:pStyle w:val="tl5"/>
        <w:rPr>
          <w:color w:val="0070C0"/>
          <w:sz w:val="22"/>
          <w:szCs w:val="22"/>
        </w:rPr>
      </w:pPr>
      <w:bookmarkStart w:id="17" w:name="_Toc45873728"/>
      <w:bookmarkStart w:id="18" w:name="_Toc420332616"/>
      <w:bookmarkStart w:id="19" w:name="_Toc97642161"/>
      <w:r w:rsidRPr="00450DEB">
        <w:rPr>
          <w:color w:val="0070C0"/>
          <w:sz w:val="22"/>
          <w:szCs w:val="22"/>
        </w:rPr>
        <w:t xml:space="preserve">5.1 </w:t>
      </w:r>
      <w:r w:rsidR="00383B50" w:rsidRPr="00450DEB">
        <w:rPr>
          <w:color w:val="0070C0"/>
          <w:sz w:val="22"/>
          <w:szCs w:val="22"/>
        </w:rPr>
        <w:t>I</w:t>
      </w:r>
      <w:r w:rsidR="004D0D4A" w:rsidRPr="00450DEB">
        <w:rPr>
          <w:color w:val="0070C0"/>
          <w:sz w:val="22"/>
          <w:szCs w:val="22"/>
        </w:rPr>
        <w:t>DENTIFIKÁCIA RIZÍK</w:t>
      </w:r>
      <w:bookmarkEnd w:id="17"/>
      <w:bookmarkEnd w:id="18"/>
      <w:bookmarkEnd w:id="19"/>
    </w:p>
    <w:p w14:paraId="2D39975C" w14:textId="7269E8B7" w:rsidR="00383B50" w:rsidRPr="00F46AA9" w:rsidRDefault="00383B50" w:rsidP="00C3571B">
      <w:pPr>
        <w:pStyle w:val="BodyText1"/>
        <w:spacing w:line="276" w:lineRule="auto"/>
        <w:rPr>
          <w:rFonts w:ascii="Times New Roman" w:hAnsi="Times New Roman"/>
          <w:color w:val="auto"/>
          <w:sz w:val="22"/>
          <w:szCs w:val="22"/>
          <w:lang w:val="sk-SK"/>
        </w:rPr>
      </w:pPr>
      <w:r w:rsidRPr="0021704C">
        <w:rPr>
          <w:rFonts w:ascii="Times New Roman" w:hAnsi="Times New Roman"/>
          <w:color w:val="auto"/>
          <w:sz w:val="22"/>
          <w:szCs w:val="22"/>
          <w:lang w:val="sk-SK"/>
        </w:rPr>
        <w:t>Prvou fázou riadenia rizík je identifikácia potenciálnych rizík relevantných k</w:t>
      </w:r>
      <w:r w:rsidR="002001E9" w:rsidRPr="0021704C">
        <w:rPr>
          <w:rFonts w:ascii="Times New Roman" w:hAnsi="Times New Roman"/>
          <w:color w:val="auto"/>
          <w:sz w:val="22"/>
          <w:szCs w:val="22"/>
          <w:lang w:val="sk-SK"/>
        </w:rPr>
        <w:t> </w:t>
      </w:r>
      <w:r w:rsidR="0021704C" w:rsidRPr="0021704C">
        <w:rPr>
          <w:rFonts w:ascii="Times New Roman" w:hAnsi="Times New Roman"/>
          <w:color w:val="auto"/>
          <w:sz w:val="22"/>
          <w:szCs w:val="22"/>
          <w:lang w:val="sk-SK"/>
        </w:rPr>
        <w:t>programom</w:t>
      </w:r>
      <w:r w:rsidR="0036152B" w:rsidRPr="0021704C">
        <w:rPr>
          <w:rFonts w:ascii="Times New Roman" w:hAnsi="Times New Roman"/>
          <w:color w:val="auto"/>
          <w:sz w:val="22"/>
          <w:szCs w:val="22"/>
          <w:lang w:val="sk-SK"/>
        </w:rPr>
        <w:t xml:space="preserve"> použitím prílohy č.</w:t>
      </w:r>
      <w:r w:rsidR="0069216B" w:rsidRPr="0021704C">
        <w:rPr>
          <w:rFonts w:ascii="Times New Roman" w:hAnsi="Times New Roman"/>
          <w:color w:val="auto"/>
          <w:sz w:val="22"/>
          <w:szCs w:val="22"/>
          <w:lang w:val="sk-SK"/>
        </w:rPr>
        <w:t xml:space="preserve"> </w:t>
      </w:r>
      <w:r w:rsidR="0036152B" w:rsidRPr="0021704C">
        <w:rPr>
          <w:rFonts w:ascii="Times New Roman" w:hAnsi="Times New Roman"/>
          <w:color w:val="auto"/>
          <w:sz w:val="22"/>
          <w:szCs w:val="22"/>
          <w:lang w:val="sk-SK"/>
        </w:rPr>
        <w:t>2 „Nástroj na vlastné posúdenie“</w:t>
      </w:r>
      <w:r w:rsidRPr="0021704C">
        <w:rPr>
          <w:rFonts w:ascii="Times New Roman" w:hAnsi="Times New Roman"/>
          <w:color w:val="auto"/>
          <w:sz w:val="22"/>
          <w:szCs w:val="22"/>
          <w:lang w:val="sk-SK"/>
        </w:rPr>
        <w:t>. Cieľom tejto fázy</w:t>
      </w:r>
      <w:r w:rsidR="00A34E0F" w:rsidRPr="0021704C">
        <w:rPr>
          <w:rFonts w:ascii="Times New Roman" w:hAnsi="Times New Roman"/>
          <w:color w:val="auto"/>
          <w:sz w:val="22"/>
          <w:szCs w:val="22"/>
          <w:lang w:val="sk-SK"/>
        </w:rPr>
        <w:t xml:space="preserve"> je na základe </w:t>
      </w:r>
      <w:r w:rsidR="00A34E0F" w:rsidRPr="00450DEB">
        <w:rPr>
          <w:rFonts w:ascii="Times New Roman" w:hAnsi="Times New Roman"/>
          <w:b/>
          <w:bCs/>
          <w:color w:val="auto"/>
          <w:sz w:val="22"/>
          <w:szCs w:val="22"/>
          <w:lang w:val="sk-SK"/>
        </w:rPr>
        <w:t>usmernenia EGESIF_14-0021-00 zo dňa 16.06.2014 „Posúdenie rizika podvodu a účinné a primerané opatrenia proti podvodom“</w:t>
      </w:r>
      <w:r w:rsidR="00394A79">
        <w:rPr>
          <w:rStyle w:val="Odkaznapoznmkupodiarou"/>
          <w:b/>
          <w:bCs/>
          <w:color w:val="auto"/>
          <w:szCs w:val="22"/>
          <w:lang w:val="sk-SK"/>
        </w:rPr>
        <w:footnoteReference w:id="6"/>
      </w:r>
      <w:r w:rsidR="00A34E0F" w:rsidRPr="00450DEB">
        <w:rPr>
          <w:rFonts w:ascii="Times New Roman" w:hAnsi="Times New Roman"/>
          <w:b/>
          <w:bCs/>
          <w:color w:val="auto"/>
          <w:sz w:val="22"/>
          <w:szCs w:val="22"/>
          <w:lang w:val="sk-SK"/>
        </w:rPr>
        <w:t xml:space="preserve"> </w:t>
      </w:r>
      <w:r w:rsidR="00A34E0F" w:rsidRPr="0021704C">
        <w:rPr>
          <w:rFonts w:ascii="Times New Roman" w:hAnsi="Times New Roman"/>
          <w:color w:val="auto"/>
          <w:sz w:val="22"/>
          <w:szCs w:val="22"/>
          <w:lang w:val="sk-SK"/>
        </w:rPr>
        <w:t>z ktorého vychádza príloha č.</w:t>
      </w:r>
      <w:r w:rsidR="0069216B" w:rsidRPr="0021704C">
        <w:rPr>
          <w:rFonts w:ascii="Times New Roman" w:hAnsi="Times New Roman"/>
          <w:color w:val="auto"/>
          <w:sz w:val="22"/>
          <w:szCs w:val="22"/>
          <w:lang w:val="sk-SK"/>
        </w:rPr>
        <w:t xml:space="preserve"> </w:t>
      </w:r>
      <w:r w:rsidR="00A34E0F" w:rsidRPr="0021704C">
        <w:rPr>
          <w:rFonts w:ascii="Times New Roman" w:hAnsi="Times New Roman"/>
          <w:color w:val="auto"/>
          <w:sz w:val="22"/>
          <w:szCs w:val="22"/>
          <w:lang w:val="sk-SK"/>
        </w:rPr>
        <w:t>2</w:t>
      </w:r>
      <w:r w:rsidRPr="0021704C">
        <w:rPr>
          <w:rFonts w:ascii="Times New Roman" w:hAnsi="Times New Roman"/>
          <w:color w:val="auto"/>
          <w:sz w:val="22"/>
          <w:szCs w:val="22"/>
          <w:lang w:val="sk-SK"/>
        </w:rPr>
        <w:t xml:space="preserve"> </w:t>
      </w:r>
      <w:r w:rsidR="0069216B" w:rsidRPr="0021704C">
        <w:rPr>
          <w:rFonts w:ascii="Times New Roman" w:hAnsi="Times New Roman"/>
          <w:color w:val="auto"/>
          <w:sz w:val="22"/>
          <w:szCs w:val="22"/>
          <w:lang w:val="sk-SK"/>
        </w:rPr>
        <w:t xml:space="preserve">„Nástroj na vlastné posúdenie“ </w:t>
      </w:r>
      <w:r w:rsidR="0036152B" w:rsidRPr="0021704C">
        <w:rPr>
          <w:rFonts w:ascii="Times New Roman" w:hAnsi="Times New Roman"/>
          <w:color w:val="auto"/>
          <w:sz w:val="22"/>
          <w:szCs w:val="22"/>
          <w:lang w:val="sk-SK"/>
        </w:rPr>
        <w:t>vytvoriť</w:t>
      </w:r>
      <w:r w:rsidR="00A30CBC" w:rsidRPr="0021704C">
        <w:rPr>
          <w:rFonts w:ascii="Times New Roman" w:hAnsi="Times New Roman"/>
          <w:color w:val="auto"/>
          <w:sz w:val="22"/>
          <w:szCs w:val="22"/>
          <w:lang w:val="sk-SK"/>
        </w:rPr>
        <w:t xml:space="preserve"> všeobecný</w:t>
      </w:r>
      <w:r w:rsidR="0036152B" w:rsidRPr="0021704C">
        <w:rPr>
          <w:rFonts w:ascii="Times New Roman" w:hAnsi="Times New Roman"/>
          <w:color w:val="auto"/>
          <w:sz w:val="22"/>
          <w:szCs w:val="22"/>
          <w:lang w:val="sk-SK"/>
        </w:rPr>
        <w:t xml:space="preserve"> z</w:t>
      </w:r>
      <w:r w:rsidRPr="0021704C">
        <w:rPr>
          <w:rFonts w:ascii="Times New Roman" w:hAnsi="Times New Roman"/>
          <w:color w:val="auto"/>
          <w:sz w:val="22"/>
          <w:szCs w:val="22"/>
          <w:lang w:val="sk-SK"/>
        </w:rPr>
        <w:t xml:space="preserve">oznam </w:t>
      </w:r>
      <w:r w:rsidR="00A30CBC" w:rsidRPr="0021704C">
        <w:rPr>
          <w:rFonts w:ascii="Times New Roman" w:hAnsi="Times New Roman"/>
          <w:color w:val="auto"/>
          <w:sz w:val="22"/>
          <w:szCs w:val="22"/>
          <w:lang w:val="sk-SK"/>
        </w:rPr>
        <w:t xml:space="preserve">rizík podvodov </w:t>
      </w:r>
      <w:r w:rsidRPr="0021704C">
        <w:rPr>
          <w:rFonts w:ascii="Times New Roman" w:hAnsi="Times New Roman"/>
          <w:color w:val="auto"/>
          <w:sz w:val="22"/>
          <w:szCs w:val="22"/>
          <w:lang w:val="sk-SK"/>
        </w:rPr>
        <w:t xml:space="preserve">na úrovni </w:t>
      </w:r>
      <w:r w:rsidR="00A67361" w:rsidRPr="0021704C">
        <w:rPr>
          <w:rFonts w:ascii="Times New Roman" w:hAnsi="Times New Roman"/>
          <w:color w:val="auto"/>
          <w:sz w:val="22"/>
          <w:szCs w:val="22"/>
          <w:lang w:val="sk-SK"/>
        </w:rPr>
        <w:t>R</w:t>
      </w:r>
      <w:r w:rsidR="00036305" w:rsidRPr="0021704C">
        <w:rPr>
          <w:rFonts w:ascii="Times New Roman" w:hAnsi="Times New Roman"/>
          <w:color w:val="auto"/>
          <w:sz w:val="22"/>
          <w:szCs w:val="22"/>
          <w:lang w:val="sk-SK"/>
        </w:rPr>
        <w:t xml:space="preserve">O </w:t>
      </w:r>
      <w:r w:rsidRPr="0021704C">
        <w:rPr>
          <w:rFonts w:ascii="Times New Roman" w:hAnsi="Times New Roman"/>
          <w:color w:val="auto"/>
          <w:sz w:val="22"/>
          <w:szCs w:val="22"/>
          <w:lang w:val="sk-SK"/>
        </w:rPr>
        <w:t xml:space="preserve">a je prílohou </w:t>
      </w:r>
      <w:r w:rsidR="00036305" w:rsidRPr="0021704C">
        <w:rPr>
          <w:rFonts w:ascii="Times New Roman" w:hAnsi="Times New Roman"/>
          <w:color w:val="auto"/>
          <w:sz w:val="22"/>
          <w:szCs w:val="22"/>
          <w:lang w:val="sk-SK"/>
        </w:rPr>
        <w:t xml:space="preserve">tohto usmernenia </w:t>
      </w:r>
      <w:r w:rsidRPr="0021704C">
        <w:rPr>
          <w:rFonts w:ascii="Times New Roman" w:hAnsi="Times New Roman"/>
          <w:color w:val="auto"/>
          <w:sz w:val="22"/>
          <w:szCs w:val="22"/>
          <w:lang w:val="sk-SK"/>
        </w:rPr>
        <w:t xml:space="preserve">(ďalej </w:t>
      </w:r>
      <w:r w:rsidR="00036305" w:rsidRPr="0021704C">
        <w:rPr>
          <w:rFonts w:ascii="Times New Roman" w:hAnsi="Times New Roman"/>
          <w:color w:val="auto"/>
          <w:sz w:val="22"/>
          <w:szCs w:val="22"/>
          <w:lang w:val="sk-SK"/>
        </w:rPr>
        <w:t xml:space="preserve">len </w:t>
      </w:r>
      <w:r w:rsidR="005A5DBD" w:rsidRPr="0021704C">
        <w:rPr>
          <w:rFonts w:ascii="Times New Roman" w:hAnsi="Times New Roman"/>
          <w:color w:val="auto"/>
          <w:sz w:val="22"/>
          <w:szCs w:val="22"/>
          <w:lang w:val="sk-SK"/>
        </w:rPr>
        <w:t>„</w:t>
      </w:r>
      <w:r w:rsidR="00036305" w:rsidRPr="0021704C">
        <w:rPr>
          <w:rFonts w:ascii="Times New Roman" w:hAnsi="Times New Roman"/>
          <w:color w:val="auto"/>
          <w:sz w:val="22"/>
          <w:szCs w:val="22"/>
          <w:lang w:val="sk-SK"/>
        </w:rPr>
        <w:t>príloha č.</w:t>
      </w:r>
      <w:r w:rsidRPr="0021704C">
        <w:rPr>
          <w:rFonts w:ascii="Times New Roman" w:hAnsi="Times New Roman"/>
          <w:color w:val="auto"/>
          <w:sz w:val="22"/>
          <w:szCs w:val="22"/>
          <w:lang w:val="sk-SK"/>
        </w:rPr>
        <w:t>1</w:t>
      </w:r>
      <w:r w:rsidR="005A5DBD" w:rsidRPr="0021704C">
        <w:rPr>
          <w:rFonts w:ascii="Times New Roman" w:hAnsi="Times New Roman"/>
          <w:color w:val="auto"/>
          <w:sz w:val="22"/>
          <w:szCs w:val="22"/>
          <w:lang w:val="sk-SK"/>
        </w:rPr>
        <w:t>“</w:t>
      </w:r>
      <w:r w:rsidR="00203404" w:rsidRPr="0021704C">
        <w:rPr>
          <w:rFonts w:ascii="Times New Roman" w:hAnsi="Times New Roman"/>
          <w:color w:val="auto"/>
          <w:sz w:val="22"/>
          <w:szCs w:val="22"/>
          <w:lang w:val="sk-SK"/>
        </w:rPr>
        <w:t>). Aktualizovaný</w:t>
      </w:r>
      <w:r w:rsidRPr="0021704C">
        <w:rPr>
          <w:rFonts w:ascii="Times New Roman" w:hAnsi="Times New Roman"/>
          <w:color w:val="auto"/>
          <w:sz w:val="22"/>
          <w:szCs w:val="22"/>
          <w:lang w:val="sk-SK"/>
        </w:rPr>
        <w:t xml:space="preserve"> zoznam</w:t>
      </w:r>
      <w:r w:rsidR="00A30CBC" w:rsidRPr="0021704C">
        <w:rPr>
          <w:rFonts w:ascii="Times New Roman" w:hAnsi="Times New Roman"/>
          <w:color w:val="auto"/>
          <w:sz w:val="22"/>
          <w:szCs w:val="22"/>
          <w:lang w:val="sk-SK"/>
        </w:rPr>
        <w:t xml:space="preserve"> rizík podvodov</w:t>
      </w:r>
      <w:r w:rsidR="00036305" w:rsidRPr="0021704C">
        <w:rPr>
          <w:rFonts w:ascii="Times New Roman" w:hAnsi="Times New Roman"/>
          <w:color w:val="auto"/>
          <w:sz w:val="22"/>
          <w:szCs w:val="22"/>
          <w:lang w:val="sk-SK"/>
        </w:rPr>
        <w:t>, ktorý schv</w:t>
      </w:r>
      <w:r w:rsidR="003007C6" w:rsidRPr="0021704C">
        <w:rPr>
          <w:rFonts w:ascii="Times New Roman" w:hAnsi="Times New Roman"/>
          <w:color w:val="auto"/>
          <w:sz w:val="22"/>
          <w:szCs w:val="22"/>
          <w:lang w:val="sk-SK"/>
        </w:rPr>
        <w:t>aľujú členovia tímu</w:t>
      </w:r>
      <w:r w:rsidR="007C5030" w:rsidRPr="0021704C">
        <w:rPr>
          <w:rFonts w:ascii="Times New Roman" w:hAnsi="Times New Roman"/>
          <w:color w:val="auto"/>
          <w:sz w:val="22"/>
          <w:szCs w:val="22"/>
          <w:lang w:val="sk-SK"/>
        </w:rPr>
        <w:t xml:space="preserve"> </w:t>
      </w:r>
      <w:r w:rsidR="007C26A5">
        <w:rPr>
          <w:rFonts w:ascii="Times New Roman" w:hAnsi="Times New Roman"/>
          <w:color w:val="auto"/>
          <w:sz w:val="22"/>
          <w:szCs w:val="22"/>
          <w:lang w:val="sk-SK"/>
        </w:rPr>
        <w:t xml:space="preserve">pre riadenie </w:t>
      </w:r>
      <w:r w:rsidR="007C5030" w:rsidRPr="0021704C">
        <w:rPr>
          <w:rFonts w:ascii="Times New Roman" w:hAnsi="Times New Roman"/>
          <w:color w:val="auto"/>
          <w:sz w:val="22"/>
          <w:szCs w:val="22"/>
          <w:lang w:val="sk-SK"/>
        </w:rPr>
        <w:t>podvodov</w:t>
      </w:r>
      <w:r w:rsidRPr="0021704C">
        <w:rPr>
          <w:rFonts w:ascii="Times New Roman" w:hAnsi="Times New Roman"/>
          <w:color w:val="auto"/>
          <w:sz w:val="22"/>
          <w:szCs w:val="22"/>
          <w:lang w:val="sk-SK"/>
        </w:rPr>
        <w:t xml:space="preserve"> na svojich zasadnutiach</w:t>
      </w:r>
      <w:r w:rsidR="00A30CBC" w:rsidRPr="0021704C">
        <w:rPr>
          <w:rFonts w:ascii="Times New Roman" w:hAnsi="Times New Roman"/>
          <w:color w:val="auto"/>
          <w:sz w:val="22"/>
          <w:szCs w:val="22"/>
          <w:lang w:val="sk-SK"/>
        </w:rPr>
        <w:t xml:space="preserve"> je </w:t>
      </w:r>
      <w:r w:rsidR="00A30CBC" w:rsidRPr="00F46AA9">
        <w:rPr>
          <w:rFonts w:ascii="Times New Roman" w:hAnsi="Times New Roman"/>
          <w:color w:val="auto"/>
          <w:sz w:val="22"/>
          <w:szCs w:val="22"/>
          <w:lang w:val="sk-SK"/>
        </w:rPr>
        <w:t>prílohou zápisu zo stretnutia</w:t>
      </w:r>
      <w:r w:rsidR="003007C6" w:rsidRPr="00F46AA9">
        <w:rPr>
          <w:rFonts w:ascii="Times New Roman" w:hAnsi="Times New Roman"/>
          <w:color w:val="auto"/>
          <w:sz w:val="22"/>
          <w:szCs w:val="22"/>
          <w:lang w:val="sk-SK"/>
        </w:rPr>
        <w:t xml:space="preserve"> zo zasadnutia</w:t>
      </w:r>
      <w:r w:rsidR="00A30CBC" w:rsidRPr="00F46AA9">
        <w:rPr>
          <w:rFonts w:ascii="Times New Roman" w:hAnsi="Times New Roman"/>
          <w:color w:val="auto"/>
          <w:sz w:val="22"/>
          <w:szCs w:val="22"/>
          <w:lang w:val="sk-SK"/>
        </w:rPr>
        <w:t>.</w:t>
      </w:r>
    </w:p>
    <w:p w14:paraId="2D39975D" w14:textId="08992EB5" w:rsidR="00383B50" w:rsidRPr="00656630" w:rsidRDefault="00036305" w:rsidP="00C3571B">
      <w:pPr>
        <w:pStyle w:val="BodyText1"/>
        <w:spacing w:line="276" w:lineRule="auto"/>
        <w:rPr>
          <w:rFonts w:ascii="Times New Roman" w:hAnsi="Times New Roman"/>
          <w:color w:val="auto"/>
          <w:sz w:val="22"/>
          <w:szCs w:val="22"/>
          <w:lang w:val="sk-SK"/>
        </w:rPr>
      </w:pPr>
      <w:r w:rsidRPr="00F46AA9">
        <w:rPr>
          <w:rFonts w:ascii="Times New Roman" w:hAnsi="Times New Roman"/>
          <w:color w:val="auto"/>
          <w:sz w:val="22"/>
          <w:szCs w:val="22"/>
          <w:lang w:val="sk-SK"/>
        </w:rPr>
        <w:t xml:space="preserve">Riziká na úrovni </w:t>
      </w:r>
      <w:r w:rsidR="00C9663F" w:rsidRPr="00F46AA9">
        <w:rPr>
          <w:rFonts w:ascii="Times New Roman" w:hAnsi="Times New Roman"/>
          <w:color w:val="auto"/>
          <w:sz w:val="22"/>
          <w:szCs w:val="22"/>
          <w:lang w:val="sk-SK"/>
        </w:rPr>
        <w:t>R</w:t>
      </w:r>
      <w:r w:rsidRPr="00F46AA9">
        <w:rPr>
          <w:rFonts w:ascii="Times New Roman" w:hAnsi="Times New Roman"/>
          <w:color w:val="auto"/>
          <w:sz w:val="22"/>
          <w:szCs w:val="22"/>
          <w:lang w:val="sk-SK"/>
        </w:rPr>
        <w:t>O</w:t>
      </w:r>
      <w:r w:rsidR="00383B50" w:rsidRPr="00F46AA9">
        <w:rPr>
          <w:rFonts w:ascii="Times New Roman" w:hAnsi="Times New Roman"/>
          <w:color w:val="auto"/>
          <w:sz w:val="22"/>
          <w:szCs w:val="22"/>
          <w:lang w:val="sk-SK"/>
        </w:rPr>
        <w:t xml:space="preserve"> sa členia predovšetkým na vnútorné (ich pôvod vychádza z interného prostredia, napr. organizačné zmeny na úrovni úradu MV SR) a vonkajšie (ich pôvod je mimo rámca pôsobnosti </w:t>
      </w:r>
      <w:r w:rsidR="00383B50" w:rsidRPr="00656630">
        <w:rPr>
          <w:rFonts w:ascii="Times New Roman" w:hAnsi="Times New Roman"/>
          <w:color w:val="auto"/>
          <w:sz w:val="22"/>
          <w:szCs w:val="22"/>
          <w:lang w:val="sk-SK"/>
        </w:rPr>
        <w:t>úradu MV SR, napr. legislatívne zmeny, funkčnosť IKT, ktoré nespravuje úrad MV SR atď.).</w:t>
      </w:r>
    </w:p>
    <w:p w14:paraId="2D39975E" w14:textId="77A190B8" w:rsidR="00383B50" w:rsidRPr="00656630" w:rsidRDefault="000E40E4" w:rsidP="00C3571B">
      <w:pPr>
        <w:pStyle w:val="BodyText1"/>
        <w:spacing w:line="276" w:lineRule="auto"/>
        <w:rPr>
          <w:rFonts w:ascii="Times New Roman" w:hAnsi="Times New Roman"/>
          <w:color w:val="auto"/>
          <w:sz w:val="22"/>
          <w:szCs w:val="22"/>
          <w:lang w:val="sk-SK"/>
        </w:rPr>
      </w:pPr>
      <w:r w:rsidRPr="00656630">
        <w:rPr>
          <w:rFonts w:ascii="Times New Roman" w:hAnsi="Times New Roman"/>
          <w:color w:val="auto"/>
          <w:sz w:val="22"/>
          <w:szCs w:val="22"/>
          <w:lang w:val="sk-SK"/>
        </w:rPr>
        <w:t>V</w:t>
      </w:r>
      <w:r w:rsidR="00A30CBC" w:rsidRPr="00656630">
        <w:rPr>
          <w:rFonts w:ascii="Times New Roman" w:hAnsi="Times New Roman"/>
          <w:color w:val="auto"/>
          <w:sz w:val="22"/>
          <w:szCs w:val="22"/>
          <w:lang w:val="sk-SK"/>
        </w:rPr>
        <w:t> </w:t>
      </w:r>
      <w:r w:rsidRPr="00656630">
        <w:rPr>
          <w:rFonts w:ascii="Times New Roman" w:hAnsi="Times New Roman"/>
          <w:color w:val="auto"/>
          <w:sz w:val="22"/>
          <w:szCs w:val="22"/>
          <w:lang w:val="sk-SK"/>
        </w:rPr>
        <w:t>zozname</w:t>
      </w:r>
      <w:r w:rsidR="00A30CBC" w:rsidRPr="00656630">
        <w:rPr>
          <w:rFonts w:ascii="Times New Roman" w:hAnsi="Times New Roman"/>
          <w:color w:val="auto"/>
          <w:sz w:val="22"/>
          <w:szCs w:val="22"/>
          <w:lang w:val="sk-SK"/>
        </w:rPr>
        <w:t xml:space="preserve"> rizík podvodov</w:t>
      </w:r>
      <w:r w:rsidRPr="00656630">
        <w:rPr>
          <w:rFonts w:ascii="Times New Roman" w:hAnsi="Times New Roman"/>
          <w:color w:val="auto"/>
          <w:sz w:val="22"/>
          <w:szCs w:val="22"/>
          <w:lang w:val="sk-SK"/>
        </w:rPr>
        <w:t xml:space="preserve"> </w:t>
      </w:r>
      <w:r w:rsidR="00383B50" w:rsidRPr="00656630">
        <w:rPr>
          <w:rFonts w:ascii="Times New Roman" w:hAnsi="Times New Roman"/>
          <w:color w:val="auto"/>
          <w:sz w:val="22"/>
          <w:szCs w:val="22"/>
          <w:lang w:val="sk-SK"/>
        </w:rPr>
        <w:t xml:space="preserve">sú sledované </w:t>
      </w:r>
      <w:r w:rsidR="001A3B66" w:rsidRPr="00656630">
        <w:rPr>
          <w:rFonts w:ascii="Times New Roman" w:hAnsi="Times New Roman"/>
          <w:color w:val="auto"/>
          <w:sz w:val="22"/>
          <w:szCs w:val="22"/>
          <w:lang w:val="sk-SK"/>
        </w:rPr>
        <w:t>všeobecné</w:t>
      </w:r>
      <w:r w:rsidR="00383B50" w:rsidRPr="00656630">
        <w:rPr>
          <w:rFonts w:ascii="Times New Roman" w:hAnsi="Times New Roman"/>
          <w:color w:val="auto"/>
          <w:sz w:val="22"/>
          <w:szCs w:val="22"/>
          <w:lang w:val="sk-SK"/>
        </w:rPr>
        <w:t> vyskytujúce riziká ovplyvňujúce rámec riadených procesov implementácie, ktorých hlavnou charakteristikou je úmyselná aplikácia takých postupov, ktoré vedú k podozreniu z</w:t>
      </w:r>
      <w:r w:rsidR="009463E5" w:rsidRPr="00656630">
        <w:rPr>
          <w:rFonts w:ascii="Times New Roman" w:hAnsi="Times New Roman"/>
          <w:color w:val="auto"/>
          <w:sz w:val="22"/>
          <w:szCs w:val="22"/>
          <w:lang w:val="sk-SK"/>
        </w:rPr>
        <w:t xml:space="preserve"> podvodu alebo priamo k podvodu. </w:t>
      </w:r>
      <w:r w:rsidR="00383B50" w:rsidRPr="00656630">
        <w:rPr>
          <w:rFonts w:ascii="Times New Roman" w:hAnsi="Times New Roman"/>
          <w:color w:val="auto"/>
          <w:sz w:val="22"/>
          <w:szCs w:val="22"/>
          <w:lang w:val="sk-SK"/>
        </w:rPr>
        <w:t>Riziká v</w:t>
      </w:r>
      <w:r w:rsidR="00A30CBC" w:rsidRPr="00656630">
        <w:rPr>
          <w:rFonts w:ascii="Times New Roman" w:hAnsi="Times New Roman"/>
          <w:color w:val="auto"/>
          <w:sz w:val="22"/>
          <w:szCs w:val="22"/>
          <w:lang w:val="sk-SK"/>
        </w:rPr>
        <w:t> </w:t>
      </w:r>
      <w:r w:rsidR="00383B50" w:rsidRPr="00656630">
        <w:rPr>
          <w:rFonts w:ascii="Times New Roman" w:hAnsi="Times New Roman"/>
          <w:color w:val="auto"/>
          <w:sz w:val="22"/>
          <w:szCs w:val="22"/>
          <w:lang w:val="sk-SK"/>
        </w:rPr>
        <w:t>zozname</w:t>
      </w:r>
      <w:r w:rsidR="00A30CBC" w:rsidRPr="00656630">
        <w:rPr>
          <w:rFonts w:ascii="Times New Roman" w:hAnsi="Times New Roman"/>
          <w:color w:val="auto"/>
          <w:sz w:val="22"/>
          <w:szCs w:val="22"/>
          <w:lang w:val="sk-SK"/>
        </w:rPr>
        <w:t xml:space="preserve"> rizík podvodov</w:t>
      </w:r>
      <w:r w:rsidR="00383B50" w:rsidRPr="00656630">
        <w:rPr>
          <w:rFonts w:ascii="Times New Roman" w:hAnsi="Times New Roman"/>
          <w:color w:val="auto"/>
          <w:sz w:val="22"/>
          <w:szCs w:val="22"/>
          <w:lang w:val="sk-SK"/>
        </w:rPr>
        <w:t xml:space="preserve"> sa </w:t>
      </w:r>
      <w:r w:rsidR="00036305" w:rsidRPr="00656630">
        <w:rPr>
          <w:rFonts w:ascii="Times New Roman" w:hAnsi="Times New Roman"/>
          <w:color w:val="auto"/>
          <w:sz w:val="22"/>
          <w:szCs w:val="22"/>
          <w:lang w:val="sk-SK"/>
        </w:rPr>
        <w:t xml:space="preserve">sledujú ako interné (na úrovni </w:t>
      </w:r>
      <w:r w:rsidR="00C9663F" w:rsidRPr="00656630">
        <w:rPr>
          <w:rFonts w:ascii="Times New Roman" w:hAnsi="Times New Roman"/>
          <w:color w:val="auto"/>
          <w:sz w:val="22"/>
          <w:szCs w:val="22"/>
          <w:lang w:val="sk-SK"/>
        </w:rPr>
        <w:t>R</w:t>
      </w:r>
      <w:r w:rsidR="00383B50" w:rsidRPr="00656630">
        <w:rPr>
          <w:rFonts w:ascii="Times New Roman" w:hAnsi="Times New Roman"/>
          <w:color w:val="auto"/>
          <w:sz w:val="22"/>
          <w:szCs w:val="22"/>
          <w:lang w:val="sk-SK"/>
        </w:rPr>
        <w:t>O) a externé (na úrovni procesov žiadateľa / prijímateľa).</w:t>
      </w:r>
    </w:p>
    <w:p w14:paraId="2D399761" w14:textId="1B99BFC8" w:rsidR="00383B50" w:rsidRPr="00656630" w:rsidRDefault="00383B50" w:rsidP="00C3571B">
      <w:pPr>
        <w:pStyle w:val="BodyText1"/>
        <w:spacing w:line="276" w:lineRule="auto"/>
        <w:rPr>
          <w:rFonts w:ascii="Times New Roman" w:hAnsi="Times New Roman"/>
          <w:color w:val="auto"/>
          <w:sz w:val="22"/>
          <w:szCs w:val="22"/>
          <w:lang w:val="sk-SK"/>
        </w:rPr>
      </w:pPr>
      <w:r w:rsidRPr="00656630">
        <w:rPr>
          <w:rFonts w:ascii="Times New Roman" w:hAnsi="Times New Roman"/>
          <w:color w:val="auto"/>
          <w:sz w:val="22"/>
          <w:szCs w:val="22"/>
          <w:lang w:val="sk-SK"/>
        </w:rPr>
        <w:t xml:space="preserve">Nakoľko identifikácia rizík </w:t>
      </w:r>
      <w:r w:rsidR="007C5030" w:rsidRPr="00656630">
        <w:rPr>
          <w:rFonts w:ascii="Times New Roman" w:hAnsi="Times New Roman"/>
          <w:color w:val="auto"/>
          <w:sz w:val="22"/>
          <w:szCs w:val="22"/>
          <w:lang w:val="sk-SK"/>
        </w:rPr>
        <w:t>podvodov</w:t>
      </w:r>
      <w:r w:rsidR="009463E5" w:rsidRPr="00656630">
        <w:rPr>
          <w:rFonts w:ascii="Times New Roman" w:hAnsi="Times New Roman"/>
          <w:color w:val="auto"/>
          <w:sz w:val="22"/>
          <w:szCs w:val="22"/>
          <w:lang w:val="sk-SK"/>
        </w:rPr>
        <w:t xml:space="preserve"> </w:t>
      </w:r>
      <w:r w:rsidRPr="00656630">
        <w:rPr>
          <w:rFonts w:ascii="Times New Roman" w:hAnsi="Times New Roman"/>
          <w:color w:val="auto"/>
          <w:sz w:val="22"/>
          <w:szCs w:val="22"/>
          <w:lang w:val="sk-SK"/>
        </w:rPr>
        <w:t>nie je obmedzená iba na členov</w:t>
      </w:r>
      <w:r w:rsidR="003007C6" w:rsidRPr="00656630">
        <w:rPr>
          <w:rFonts w:ascii="Times New Roman" w:hAnsi="Times New Roman"/>
          <w:color w:val="auto"/>
          <w:sz w:val="22"/>
          <w:szCs w:val="22"/>
          <w:lang w:val="sk-SK"/>
        </w:rPr>
        <w:t xml:space="preserve"> t</w:t>
      </w:r>
      <w:r w:rsidR="007C5030" w:rsidRPr="00656630">
        <w:rPr>
          <w:rFonts w:ascii="Times New Roman" w:hAnsi="Times New Roman"/>
          <w:color w:val="auto"/>
          <w:sz w:val="22"/>
          <w:szCs w:val="22"/>
          <w:lang w:val="sk-SK"/>
        </w:rPr>
        <w:t>ím</w:t>
      </w:r>
      <w:r w:rsidR="00EE4155">
        <w:rPr>
          <w:rFonts w:ascii="Times New Roman" w:hAnsi="Times New Roman"/>
          <w:color w:val="auto"/>
          <w:sz w:val="22"/>
          <w:szCs w:val="22"/>
          <w:lang w:val="sk-SK"/>
        </w:rPr>
        <w:t>u</w:t>
      </w:r>
      <w:r w:rsidR="007C5030" w:rsidRPr="00656630">
        <w:rPr>
          <w:rFonts w:ascii="Times New Roman" w:hAnsi="Times New Roman"/>
          <w:color w:val="auto"/>
          <w:sz w:val="22"/>
          <w:szCs w:val="22"/>
          <w:lang w:val="sk-SK"/>
        </w:rPr>
        <w:t xml:space="preserve"> </w:t>
      </w:r>
      <w:r w:rsidR="007C26A5">
        <w:rPr>
          <w:rFonts w:ascii="Times New Roman" w:hAnsi="Times New Roman"/>
          <w:color w:val="auto"/>
          <w:sz w:val="22"/>
          <w:szCs w:val="22"/>
          <w:lang w:val="sk-SK"/>
        </w:rPr>
        <w:t xml:space="preserve">pre riadenie </w:t>
      </w:r>
      <w:r w:rsidR="007C5030" w:rsidRPr="00656630">
        <w:rPr>
          <w:rFonts w:ascii="Times New Roman" w:hAnsi="Times New Roman"/>
          <w:color w:val="auto"/>
          <w:sz w:val="22"/>
          <w:szCs w:val="22"/>
          <w:lang w:val="sk-SK"/>
        </w:rPr>
        <w:t>rizík podvodov</w:t>
      </w:r>
      <w:r w:rsidRPr="00656630">
        <w:rPr>
          <w:rFonts w:ascii="Times New Roman" w:hAnsi="Times New Roman"/>
          <w:color w:val="auto"/>
          <w:sz w:val="22"/>
          <w:szCs w:val="22"/>
          <w:lang w:val="sk-SK"/>
        </w:rPr>
        <w:t>, môže byť riziko p</w:t>
      </w:r>
      <w:r w:rsidR="00265A58">
        <w:rPr>
          <w:rFonts w:ascii="Times New Roman" w:hAnsi="Times New Roman"/>
          <w:color w:val="auto"/>
          <w:sz w:val="22"/>
          <w:szCs w:val="22"/>
          <w:lang w:val="sk-SK"/>
        </w:rPr>
        <w:t xml:space="preserve">otenciálne alebo riziko reálne </w:t>
      </w:r>
      <w:r w:rsidRPr="00656630">
        <w:rPr>
          <w:rFonts w:ascii="Times New Roman" w:hAnsi="Times New Roman"/>
          <w:color w:val="auto"/>
          <w:sz w:val="22"/>
          <w:szCs w:val="22"/>
          <w:lang w:val="sk-SK"/>
        </w:rPr>
        <w:t>identifikovan</w:t>
      </w:r>
      <w:r w:rsidR="00036305" w:rsidRPr="00656630">
        <w:rPr>
          <w:rFonts w:ascii="Times New Roman" w:hAnsi="Times New Roman"/>
          <w:color w:val="auto"/>
          <w:sz w:val="22"/>
          <w:szCs w:val="22"/>
          <w:lang w:val="sk-SK"/>
        </w:rPr>
        <w:t xml:space="preserve">é z úrovne každého zamestnanca </w:t>
      </w:r>
      <w:r w:rsidR="009821ED" w:rsidRPr="00656630">
        <w:rPr>
          <w:rFonts w:ascii="Times New Roman" w:hAnsi="Times New Roman"/>
          <w:color w:val="auto"/>
          <w:sz w:val="22"/>
          <w:szCs w:val="22"/>
          <w:lang w:val="sk-SK"/>
        </w:rPr>
        <w:t>R</w:t>
      </w:r>
      <w:r w:rsidRPr="00656630">
        <w:rPr>
          <w:rFonts w:ascii="Times New Roman" w:hAnsi="Times New Roman"/>
          <w:color w:val="auto"/>
          <w:sz w:val="22"/>
          <w:szCs w:val="22"/>
          <w:lang w:val="sk-SK"/>
        </w:rPr>
        <w:t xml:space="preserve">O. </w:t>
      </w:r>
      <w:r w:rsidR="00036305" w:rsidRPr="00656630">
        <w:rPr>
          <w:rFonts w:ascii="Times New Roman" w:hAnsi="Times New Roman"/>
          <w:color w:val="auto"/>
          <w:sz w:val="22"/>
          <w:szCs w:val="22"/>
          <w:lang w:val="sk-SK"/>
        </w:rPr>
        <w:t xml:space="preserve">V takom prípade je zamestnanec </w:t>
      </w:r>
      <w:r w:rsidR="009821ED" w:rsidRPr="00656630">
        <w:rPr>
          <w:rFonts w:ascii="Times New Roman" w:hAnsi="Times New Roman"/>
          <w:color w:val="auto"/>
          <w:sz w:val="22"/>
          <w:szCs w:val="22"/>
          <w:lang w:val="sk-SK"/>
        </w:rPr>
        <w:t>R</w:t>
      </w:r>
      <w:r w:rsidR="00036305" w:rsidRPr="00656630">
        <w:rPr>
          <w:rFonts w:ascii="Times New Roman" w:hAnsi="Times New Roman"/>
          <w:color w:val="auto"/>
          <w:sz w:val="22"/>
          <w:szCs w:val="22"/>
          <w:lang w:val="sk-SK"/>
        </w:rPr>
        <w:t xml:space="preserve">O povinný o tejto skutočnosti informovať priamo svojho nadriadeného. Všetky </w:t>
      </w:r>
      <w:r w:rsidRPr="00656630">
        <w:rPr>
          <w:rFonts w:ascii="Times New Roman" w:hAnsi="Times New Roman"/>
          <w:color w:val="auto"/>
          <w:sz w:val="22"/>
          <w:szCs w:val="22"/>
          <w:lang w:val="sk-SK"/>
        </w:rPr>
        <w:t xml:space="preserve">informácie (podnety) budú vyhodnocované </w:t>
      </w:r>
      <w:r w:rsidR="003007C6" w:rsidRPr="00656630">
        <w:rPr>
          <w:rFonts w:ascii="Times New Roman" w:hAnsi="Times New Roman"/>
          <w:color w:val="auto"/>
          <w:sz w:val="22"/>
          <w:szCs w:val="22"/>
          <w:lang w:val="sk-SK"/>
        </w:rPr>
        <w:t>tímom</w:t>
      </w:r>
      <w:r w:rsidR="007C5030" w:rsidRPr="00656630">
        <w:rPr>
          <w:rFonts w:ascii="Times New Roman" w:hAnsi="Times New Roman"/>
          <w:color w:val="auto"/>
          <w:sz w:val="22"/>
          <w:szCs w:val="22"/>
          <w:lang w:val="sk-SK"/>
        </w:rPr>
        <w:t xml:space="preserve"> </w:t>
      </w:r>
      <w:r w:rsidR="007C26A5">
        <w:rPr>
          <w:rFonts w:ascii="Times New Roman" w:hAnsi="Times New Roman"/>
          <w:color w:val="auto"/>
          <w:sz w:val="22"/>
          <w:szCs w:val="22"/>
          <w:lang w:val="sk-SK"/>
        </w:rPr>
        <w:t xml:space="preserve">pre riadenie </w:t>
      </w:r>
      <w:r w:rsidR="007C5030" w:rsidRPr="00656630">
        <w:rPr>
          <w:rFonts w:ascii="Times New Roman" w:hAnsi="Times New Roman"/>
          <w:color w:val="auto"/>
          <w:sz w:val="22"/>
          <w:szCs w:val="22"/>
          <w:lang w:val="sk-SK"/>
        </w:rPr>
        <w:t>rizík podvodov</w:t>
      </w:r>
      <w:r w:rsidR="00036305" w:rsidRPr="00656630">
        <w:rPr>
          <w:rFonts w:ascii="Times New Roman" w:hAnsi="Times New Roman"/>
          <w:color w:val="auto"/>
          <w:sz w:val="22"/>
          <w:szCs w:val="22"/>
          <w:lang w:val="sk-SK"/>
        </w:rPr>
        <w:t xml:space="preserve">, </w:t>
      </w:r>
      <w:r w:rsidR="002D446A" w:rsidRPr="00656630">
        <w:rPr>
          <w:rFonts w:ascii="Times New Roman" w:hAnsi="Times New Roman"/>
          <w:color w:val="auto"/>
          <w:sz w:val="22"/>
          <w:szCs w:val="22"/>
          <w:lang w:val="sk-SK"/>
        </w:rPr>
        <w:t>ktor</w:t>
      </w:r>
      <w:r w:rsidR="002D446A">
        <w:rPr>
          <w:rFonts w:ascii="Times New Roman" w:hAnsi="Times New Roman"/>
          <w:color w:val="auto"/>
          <w:sz w:val="22"/>
          <w:szCs w:val="22"/>
          <w:lang w:val="sk-SK"/>
        </w:rPr>
        <w:t>ý</w:t>
      </w:r>
      <w:r w:rsidR="002D446A" w:rsidRPr="00656630">
        <w:rPr>
          <w:rFonts w:ascii="Times New Roman" w:hAnsi="Times New Roman"/>
          <w:color w:val="auto"/>
          <w:sz w:val="22"/>
          <w:szCs w:val="22"/>
          <w:lang w:val="sk-SK"/>
        </w:rPr>
        <w:t xml:space="preserve"> </w:t>
      </w:r>
      <w:r w:rsidRPr="00656630">
        <w:rPr>
          <w:rFonts w:ascii="Times New Roman" w:hAnsi="Times New Roman"/>
          <w:color w:val="auto"/>
          <w:sz w:val="22"/>
          <w:szCs w:val="22"/>
          <w:lang w:val="sk-SK"/>
        </w:rPr>
        <w:t>v </w:t>
      </w:r>
      <w:r w:rsidR="00036305" w:rsidRPr="00656630">
        <w:rPr>
          <w:rFonts w:ascii="Times New Roman" w:hAnsi="Times New Roman"/>
          <w:color w:val="auto"/>
          <w:sz w:val="22"/>
          <w:szCs w:val="22"/>
          <w:lang w:val="sk-SK"/>
        </w:rPr>
        <w:t>prípade relevantnosti zaradí</w:t>
      </w:r>
      <w:r w:rsidRPr="00656630">
        <w:rPr>
          <w:rFonts w:ascii="Times New Roman" w:hAnsi="Times New Roman"/>
          <w:color w:val="auto"/>
          <w:sz w:val="22"/>
          <w:szCs w:val="22"/>
          <w:lang w:val="sk-SK"/>
        </w:rPr>
        <w:t xml:space="preserve"> i</w:t>
      </w:r>
      <w:r w:rsidR="005A5DBD" w:rsidRPr="00656630">
        <w:rPr>
          <w:rFonts w:ascii="Times New Roman" w:hAnsi="Times New Roman"/>
          <w:color w:val="auto"/>
          <w:sz w:val="22"/>
          <w:szCs w:val="22"/>
          <w:lang w:val="sk-SK"/>
        </w:rPr>
        <w:t>dentifikované riziko do zoznamu</w:t>
      </w:r>
      <w:r w:rsidR="00A30CBC" w:rsidRPr="00656630">
        <w:rPr>
          <w:rFonts w:ascii="Times New Roman" w:hAnsi="Times New Roman"/>
          <w:color w:val="auto"/>
          <w:sz w:val="22"/>
          <w:szCs w:val="22"/>
          <w:lang w:val="sk-SK"/>
        </w:rPr>
        <w:t xml:space="preserve"> rizík podvodov</w:t>
      </w:r>
      <w:r w:rsidRPr="00656630">
        <w:rPr>
          <w:rFonts w:ascii="Times New Roman" w:hAnsi="Times New Roman"/>
          <w:color w:val="auto"/>
          <w:sz w:val="22"/>
          <w:szCs w:val="22"/>
          <w:lang w:val="sk-SK"/>
        </w:rPr>
        <w:t xml:space="preserve">. </w:t>
      </w:r>
    </w:p>
    <w:p w14:paraId="2D399762" w14:textId="09AD098D" w:rsidR="00383B50" w:rsidRPr="00656630" w:rsidRDefault="004663FD" w:rsidP="004663FD">
      <w:pPr>
        <w:pStyle w:val="Nadpis3"/>
        <w:spacing w:line="276" w:lineRule="auto"/>
        <w:ind w:left="0" w:firstLine="426"/>
        <w:rPr>
          <w:rFonts w:ascii="Times New Roman" w:hAnsi="Times New Roman"/>
          <w:b/>
          <w:bCs/>
          <w:color w:val="auto"/>
          <w:sz w:val="22"/>
          <w:szCs w:val="22"/>
          <w:lang w:val="sk-SK"/>
        </w:rPr>
      </w:pPr>
      <w:bookmarkStart w:id="20" w:name="_Toc420332617"/>
      <w:bookmarkStart w:id="21" w:name="_Toc97642162"/>
      <w:bookmarkStart w:id="22" w:name="_Toc45873729"/>
      <w:r w:rsidRPr="00450DEB">
        <w:rPr>
          <w:rFonts w:ascii="Times New Roman" w:hAnsi="Times New Roman"/>
          <w:b/>
          <w:bCs/>
          <w:color w:val="0070C0"/>
          <w:sz w:val="22"/>
          <w:szCs w:val="22"/>
          <w:lang w:val="sk-SK"/>
        </w:rPr>
        <w:t xml:space="preserve">5.2 </w:t>
      </w:r>
      <w:r w:rsidR="00383B50" w:rsidRPr="00450DEB">
        <w:rPr>
          <w:rStyle w:val="tl4Char"/>
          <w:color w:val="0070C0"/>
          <w:sz w:val="22"/>
          <w:szCs w:val="22"/>
          <w:lang w:val="sk-SK"/>
        </w:rPr>
        <w:t>A</w:t>
      </w:r>
      <w:r w:rsidR="008D64B4" w:rsidRPr="00450DEB">
        <w:rPr>
          <w:rStyle w:val="tl4Char"/>
          <w:color w:val="0070C0"/>
          <w:sz w:val="22"/>
          <w:szCs w:val="22"/>
          <w:lang w:val="sk-SK"/>
        </w:rPr>
        <w:t>NALÝZA A HODNOTENIE RIZÍK</w:t>
      </w:r>
      <w:bookmarkEnd w:id="20"/>
      <w:bookmarkEnd w:id="21"/>
      <w:bookmarkEnd w:id="22"/>
    </w:p>
    <w:p w14:paraId="2D399763" w14:textId="66D96666" w:rsidR="00383B50" w:rsidRPr="007C49E8" w:rsidRDefault="00A30CBC" w:rsidP="00C3571B">
      <w:pPr>
        <w:pStyle w:val="BodyText1"/>
        <w:spacing w:line="276" w:lineRule="auto"/>
        <w:rPr>
          <w:rFonts w:ascii="Times New Roman" w:hAnsi="Times New Roman"/>
          <w:color w:val="auto"/>
          <w:sz w:val="22"/>
          <w:szCs w:val="22"/>
          <w:lang w:val="sk-SK"/>
        </w:rPr>
      </w:pPr>
      <w:r w:rsidRPr="00E25A10">
        <w:rPr>
          <w:rFonts w:ascii="Times New Roman" w:hAnsi="Times New Roman"/>
          <w:color w:val="auto"/>
          <w:sz w:val="22"/>
          <w:szCs w:val="22"/>
          <w:lang w:val="sk-SK"/>
        </w:rPr>
        <w:t>Identifikované riziká</w:t>
      </w:r>
      <w:r w:rsidR="00203404" w:rsidRPr="00E25A10">
        <w:rPr>
          <w:rFonts w:ascii="Times New Roman" w:hAnsi="Times New Roman"/>
          <w:color w:val="auto"/>
          <w:sz w:val="22"/>
          <w:szCs w:val="22"/>
          <w:lang w:val="sk-SK"/>
        </w:rPr>
        <w:t xml:space="preserve"> podvodov </w:t>
      </w:r>
      <w:r w:rsidR="00383B50" w:rsidRPr="00E25A10">
        <w:rPr>
          <w:rFonts w:ascii="Times New Roman" w:hAnsi="Times New Roman"/>
          <w:color w:val="auto"/>
          <w:sz w:val="22"/>
          <w:szCs w:val="22"/>
          <w:lang w:val="sk-SK"/>
        </w:rPr>
        <w:t>zahrnuté v</w:t>
      </w:r>
      <w:r w:rsidRPr="00E25A10">
        <w:rPr>
          <w:rFonts w:ascii="Times New Roman" w:hAnsi="Times New Roman"/>
          <w:color w:val="auto"/>
          <w:sz w:val="22"/>
          <w:szCs w:val="22"/>
          <w:lang w:val="sk-SK"/>
        </w:rPr>
        <w:t> </w:t>
      </w:r>
      <w:r w:rsidR="000E40E4" w:rsidRPr="00E25A10">
        <w:rPr>
          <w:rFonts w:ascii="Times New Roman" w:hAnsi="Times New Roman"/>
          <w:color w:val="auto"/>
          <w:sz w:val="22"/>
          <w:szCs w:val="22"/>
          <w:lang w:val="sk-SK"/>
        </w:rPr>
        <w:t>z</w:t>
      </w:r>
      <w:r w:rsidR="00383B50" w:rsidRPr="00E25A10">
        <w:rPr>
          <w:rFonts w:ascii="Times New Roman" w:hAnsi="Times New Roman"/>
          <w:color w:val="auto"/>
          <w:sz w:val="22"/>
          <w:szCs w:val="22"/>
          <w:lang w:val="sk-SK"/>
        </w:rPr>
        <w:t>oz</w:t>
      </w:r>
      <w:r w:rsidRPr="00E25A10">
        <w:rPr>
          <w:rFonts w:ascii="Times New Roman" w:hAnsi="Times New Roman"/>
          <w:color w:val="auto"/>
          <w:sz w:val="22"/>
          <w:szCs w:val="22"/>
          <w:lang w:val="sk-SK"/>
        </w:rPr>
        <w:t>name rizík podvodov</w:t>
      </w:r>
      <w:r w:rsidR="00203404" w:rsidRPr="00E25A10">
        <w:rPr>
          <w:rFonts w:ascii="Times New Roman" w:hAnsi="Times New Roman"/>
          <w:color w:val="auto"/>
          <w:sz w:val="22"/>
          <w:szCs w:val="22"/>
          <w:lang w:val="sk-SK"/>
        </w:rPr>
        <w:t xml:space="preserve"> vytvorené použitím prílohy č.</w:t>
      </w:r>
      <w:r w:rsidR="0069216B" w:rsidRPr="00E25A10">
        <w:rPr>
          <w:rFonts w:ascii="Times New Roman" w:hAnsi="Times New Roman"/>
          <w:color w:val="auto"/>
          <w:sz w:val="22"/>
          <w:szCs w:val="22"/>
          <w:lang w:val="sk-SK"/>
        </w:rPr>
        <w:t xml:space="preserve"> </w:t>
      </w:r>
      <w:r w:rsidR="00203404" w:rsidRPr="00E25A10">
        <w:rPr>
          <w:rFonts w:ascii="Times New Roman" w:hAnsi="Times New Roman"/>
          <w:color w:val="auto"/>
          <w:sz w:val="22"/>
          <w:szCs w:val="22"/>
          <w:lang w:val="sk-SK"/>
        </w:rPr>
        <w:t>2</w:t>
      </w:r>
      <w:r w:rsidR="0069216B" w:rsidRPr="00E25A10">
        <w:rPr>
          <w:rFonts w:ascii="Times New Roman" w:hAnsi="Times New Roman"/>
          <w:color w:val="auto"/>
          <w:sz w:val="22"/>
          <w:szCs w:val="22"/>
          <w:lang w:val="sk-SK"/>
        </w:rPr>
        <w:t xml:space="preserve"> „Nástroj na vlastné posúdenie“</w:t>
      </w:r>
      <w:r w:rsidR="00203404" w:rsidRPr="00E25A10">
        <w:rPr>
          <w:rFonts w:ascii="Times New Roman" w:hAnsi="Times New Roman"/>
          <w:color w:val="auto"/>
          <w:sz w:val="22"/>
          <w:szCs w:val="22"/>
          <w:lang w:val="sk-SK"/>
        </w:rPr>
        <w:t xml:space="preserve"> sú </w:t>
      </w:r>
      <w:r w:rsidR="00383B50" w:rsidRPr="00E25A10">
        <w:rPr>
          <w:rFonts w:ascii="Times New Roman" w:hAnsi="Times New Roman"/>
          <w:color w:val="auto"/>
          <w:sz w:val="22"/>
          <w:szCs w:val="22"/>
          <w:lang w:val="sk-SK"/>
        </w:rPr>
        <w:t xml:space="preserve"> analyzované a hodnotené členmi </w:t>
      </w:r>
      <w:r w:rsidR="003007C6" w:rsidRPr="00E25A10">
        <w:rPr>
          <w:rFonts w:ascii="Times New Roman" w:hAnsi="Times New Roman"/>
          <w:color w:val="auto"/>
          <w:sz w:val="22"/>
          <w:szCs w:val="22"/>
          <w:lang w:val="sk-SK"/>
        </w:rPr>
        <w:t>tímu</w:t>
      </w:r>
      <w:r w:rsidR="007C5030" w:rsidRPr="00E25A10">
        <w:rPr>
          <w:rFonts w:ascii="Times New Roman" w:hAnsi="Times New Roman"/>
          <w:color w:val="auto"/>
          <w:sz w:val="22"/>
          <w:szCs w:val="22"/>
          <w:lang w:val="sk-SK"/>
        </w:rPr>
        <w:t xml:space="preserve"> </w:t>
      </w:r>
      <w:r w:rsidR="007C26A5">
        <w:rPr>
          <w:rFonts w:ascii="Times New Roman" w:hAnsi="Times New Roman"/>
          <w:color w:val="auto"/>
          <w:sz w:val="22"/>
          <w:szCs w:val="22"/>
          <w:lang w:val="sk-SK"/>
        </w:rPr>
        <w:t xml:space="preserve">pre riadenie </w:t>
      </w:r>
      <w:r w:rsidR="007C5030" w:rsidRPr="00E25A10">
        <w:rPr>
          <w:rFonts w:ascii="Times New Roman" w:hAnsi="Times New Roman"/>
          <w:color w:val="auto"/>
          <w:sz w:val="22"/>
          <w:szCs w:val="22"/>
          <w:lang w:val="sk-SK"/>
        </w:rPr>
        <w:t>rizík podvodov</w:t>
      </w:r>
      <w:r w:rsidR="003007C6" w:rsidRPr="00E25A10">
        <w:rPr>
          <w:rFonts w:ascii="Times New Roman" w:hAnsi="Times New Roman"/>
          <w:color w:val="auto"/>
          <w:sz w:val="22"/>
          <w:szCs w:val="22"/>
          <w:lang w:val="sk-SK"/>
        </w:rPr>
        <w:t xml:space="preserve"> </w:t>
      </w:r>
      <w:r w:rsidR="00383B50" w:rsidRPr="007C49E8">
        <w:rPr>
          <w:rFonts w:ascii="Times New Roman" w:hAnsi="Times New Roman"/>
          <w:color w:val="auto"/>
          <w:sz w:val="22"/>
          <w:szCs w:val="22"/>
          <w:lang w:val="sk-SK"/>
        </w:rPr>
        <w:t xml:space="preserve">z hľadiska ich </w:t>
      </w:r>
      <w:r w:rsidR="0069216B" w:rsidRPr="007C49E8">
        <w:rPr>
          <w:rFonts w:ascii="Times New Roman" w:hAnsi="Times New Roman"/>
          <w:color w:val="auto"/>
          <w:sz w:val="22"/>
          <w:szCs w:val="22"/>
          <w:lang w:val="sk-SK"/>
        </w:rPr>
        <w:t>hrubého dopadu</w:t>
      </w:r>
      <w:r w:rsidR="00383B50" w:rsidRPr="007C49E8">
        <w:rPr>
          <w:rFonts w:ascii="Times New Roman" w:hAnsi="Times New Roman"/>
          <w:color w:val="auto"/>
          <w:sz w:val="22"/>
          <w:szCs w:val="22"/>
          <w:lang w:val="sk-SK"/>
        </w:rPr>
        <w:t xml:space="preserve"> a</w:t>
      </w:r>
      <w:r w:rsidR="0069216B" w:rsidRPr="007C49E8">
        <w:rPr>
          <w:rFonts w:ascii="Times New Roman" w:hAnsi="Times New Roman"/>
          <w:color w:val="auto"/>
          <w:sz w:val="22"/>
          <w:szCs w:val="22"/>
          <w:lang w:val="sk-SK"/>
        </w:rPr>
        <w:t xml:space="preserve"> hrubej</w:t>
      </w:r>
      <w:r w:rsidR="00383B50" w:rsidRPr="007C49E8">
        <w:rPr>
          <w:rFonts w:ascii="Times New Roman" w:hAnsi="Times New Roman"/>
          <w:color w:val="auto"/>
          <w:sz w:val="22"/>
          <w:szCs w:val="22"/>
          <w:lang w:val="sk-SK"/>
        </w:rPr>
        <w:t xml:space="preserve"> pravdepodobnosti vzniku (ktoré sú posudzovanými atribútmi) s cieľom určiť </w:t>
      </w:r>
      <w:r w:rsidR="00383B50" w:rsidRPr="007C49E8">
        <w:rPr>
          <w:rFonts w:ascii="Times New Roman" w:hAnsi="Times New Roman"/>
          <w:b/>
          <w:color w:val="auto"/>
          <w:sz w:val="22"/>
          <w:szCs w:val="22"/>
          <w:lang w:val="sk-SK"/>
        </w:rPr>
        <w:t>celkovú mieru rizika</w:t>
      </w:r>
      <w:r w:rsidR="00203404" w:rsidRPr="007C49E8">
        <w:rPr>
          <w:rFonts w:ascii="Times New Roman" w:hAnsi="Times New Roman"/>
          <w:b/>
          <w:color w:val="auto"/>
          <w:sz w:val="22"/>
          <w:szCs w:val="22"/>
          <w:lang w:val="sk-SK"/>
        </w:rPr>
        <w:t xml:space="preserve"> – HRUBÉ RIZIKO</w:t>
      </w:r>
      <w:r w:rsidR="00383B50" w:rsidRPr="007C49E8">
        <w:rPr>
          <w:rFonts w:ascii="Times New Roman" w:hAnsi="Times New Roman"/>
          <w:color w:val="auto"/>
          <w:sz w:val="22"/>
          <w:szCs w:val="22"/>
          <w:lang w:val="sk-SK"/>
        </w:rPr>
        <w:t xml:space="preserve"> (súčin bodového ohodnotenia atribútov rizika – významnosti a pravdepodobnosti vzniku), t. j. ich dopad na plnenie cieľov. </w:t>
      </w:r>
    </w:p>
    <w:p w14:paraId="2D399764" w14:textId="675C34CE" w:rsidR="00383B50" w:rsidRPr="007C49E8" w:rsidRDefault="00383B50" w:rsidP="00C3571B">
      <w:pPr>
        <w:pStyle w:val="BodyText1"/>
        <w:spacing w:line="276" w:lineRule="auto"/>
        <w:rPr>
          <w:rFonts w:ascii="Times New Roman" w:hAnsi="Times New Roman"/>
          <w:color w:val="auto"/>
          <w:sz w:val="22"/>
          <w:szCs w:val="22"/>
          <w:lang w:val="sk-SK"/>
        </w:rPr>
      </w:pPr>
      <w:r w:rsidRPr="007C49E8">
        <w:rPr>
          <w:rFonts w:ascii="Times New Roman" w:hAnsi="Times New Roman"/>
          <w:color w:val="auto"/>
          <w:sz w:val="22"/>
          <w:szCs w:val="22"/>
          <w:lang w:val="sk-SK"/>
        </w:rPr>
        <w:t>Každé id</w:t>
      </w:r>
      <w:r w:rsidR="000E40E4" w:rsidRPr="007C49E8">
        <w:rPr>
          <w:rFonts w:ascii="Times New Roman" w:hAnsi="Times New Roman"/>
          <w:color w:val="auto"/>
          <w:sz w:val="22"/>
          <w:szCs w:val="22"/>
          <w:lang w:val="sk-SK"/>
        </w:rPr>
        <w:t>entifikované riziko uvádzané v</w:t>
      </w:r>
      <w:r w:rsidR="00A30CBC" w:rsidRPr="007C49E8">
        <w:rPr>
          <w:rFonts w:ascii="Times New Roman" w:hAnsi="Times New Roman"/>
          <w:color w:val="auto"/>
          <w:sz w:val="22"/>
          <w:szCs w:val="22"/>
          <w:lang w:val="sk-SK"/>
        </w:rPr>
        <w:t> </w:t>
      </w:r>
      <w:r w:rsidR="000E40E4" w:rsidRPr="007C49E8">
        <w:rPr>
          <w:rFonts w:ascii="Times New Roman" w:hAnsi="Times New Roman"/>
          <w:color w:val="auto"/>
          <w:sz w:val="22"/>
          <w:szCs w:val="22"/>
          <w:lang w:val="sk-SK"/>
        </w:rPr>
        <w:t>z</w:t>
      </w:r>
      <w:r w:rsidR="00A30CBC" w:rsidRPr="007C49E8">
        <w:rPr>
          <w:rFonts w:ascii="Times New Roman" w:hAnsi="Times New Roman"/>
          <w:color w:val="auto"/>
          <w:sz w:val="22"/>
          <w:szCs w:val="22"/>
          <w:lang w:val="sk-SK"/>
        </w:rPr>
        <w:t>ozname rizík podvodov</w:t>
      </w:r>
      <w:r w:rsidRPr="007C49E8">
        <w:rPr>
          <w:rFonts w:ascii="Times New Roman" w:hAnsi="Times New Roman"/>
          <w:color w:val="auto"/>
          <w:sz w:val="22"/>
          <w:szCs w:val="22"/>
          <w:lang w:val="sk-SK"/>
        </w:rPr>
        <w:t xml:space="preserve"> sa eviduje v nasledujúcej štruktúre:</w:t>
      </w:r>
    </w:p>
    <w:p w14:paraId="2D399767" w14:textId="64728EBF" w:rsidR="00383B50" w:rsidRPr="007C49E8" w:rsidRDefault="00FD0D6D" w:rsidP="00FD0D6D">
      <w:pPr>
        <w:pStyle w:val="BodyText1"/>
        <w:numPr>
          <w:ilvl w:val="0"/>
          <w:numId w:val="3"/>
        </w:numPr>
        <w:spacing w:line="276" w:lineRule="auto"/>
        <w:rPr>
          <w:rFonts w:ascii="Times New Roman" w:hAnsi="Times New Roman"/>
          <w:color w:val="auto"/>
          <w:sz w:val="22"/>
          <w:szCs w:val="22"/>
          <w:lang w:val="sk-SK"/>
        </w:rPr>
      </w:pPr>
      <w:r w:rsidRPr="007C49E8">
        <w:rPr>
          <w:rFonts w:ascii="Times New Roman" w:hAnsi="Times New Roman"/>
          <w:color w:val="auto"/>
          <w:sz w:val="22"/>
          <w:szCs w:val="22"/>
          <w:lang w:val="sk-SK"/>
        </w:rPr>
        <w:t>referenčné označenie rizika;</w:t>
      </w:r>
    </w:p>
    <w:p w14:paraId="2D399768" w14:textId="3B9CD761" w:rsidR="00383B50" w:rsidRPr="007C49E8" w:rsidRDefault="00FD0D6D" w:rsidP="00C3571B">
      <w:pPr>
        <w:pStyle w:val="BodyText1"/>
        <w:numPr>
          <w:ilvl w:val="0"/>
          <w:numId w:val="3"/>
        </w:numPr>
        <w:spacing w:line="276" w:lineRule="auto"/>
        <w:rPr>
          <w:rFonts w:ascii="Times New Roman" w:hAnsi="Times New Roman"/>
          <w:color w:val="auto"/>
          <w:sz w:val="22"/>
          <w:szCs w:val="22"/>
          <w:lang w:val="sk-SK"/>
        </w:rPr>
      </w:pPr>
      <w:r w:rsidRPr="007C49E8">
        <w:rPr>
          <w:rFonts w:ascii="Times New Roman" w:hAnsi="Times New Roman"/>
          <w:color w:val="auto"/>
          <w:sz w:val="22"/>
          <w:szCs w:val="22"/>
          <w:lang w:val="sk-SK"/>
        </w:rPr>
        <w:t>názov rizika;</w:t>
      </w:r>
    </w:p>
    <w:p w14:paraId="2D399769" w14:textId="4CC9FE55" w:rsidR="00383B50" w:rsidRPr="007C49E8" w:rsidRDefault="00383B50" w:rsidP="00C3571B">
      <w:pPr>
        <w:pStyle w:val="BodyText1"/>
        <w:numPr>
          <w:ilvl w:val="0"/>
          <w:numId w:val="3"/>
        </w:numPr>
        <w:spacing w:line="276" w:lineRule="auto"/>
        <w:rPr>
          <w:rFonts w:ascii="Times New Roman" w:hAnsi="Times New Roman"/>
          <w:color w:val="auto"/>
          <w:sz w:val="22"/>
          <w:szCs w:val="22"/>
          <w:lang w:val="sk-SK"/>
        </w:rPr>
      </w:pPr>
      <w:r w:rsidRPr="007C49E8">
        <w:rPr>
          <w:rFonts w:ascii="Times New Roman" w:hAnsi="Times New Roman"/>
          <w:color w:val="auto"/>
          <w:sz w:val="22"/>
          <w:szCs w:val="22"/>
          <w:lang w:val="sk-SK"/>
        </w:rPr>
        <w:t>opis rizika –</w:t>
      </w:r>
      <w:r w:rsidR="00E25A10" w:rsidRPr="007C49E8">
        <w:rPr>
          <w:rFonts w:ascii="Times New Roman" w:hAnsi="Times New Roman"/>
          <w:color w:val="auto"/>
          <w:sz w:val="22"/>
          <w:szCs w:val="22"/>
          <w:lang w:val="sk-SK"/>
        </w:rPr>
        <w:t xml:space="preserve"> popis vplyvov rizika na Systém</w:t>
      </w:r>
      <w:r w:rsidRPr="007C49E8">
        <w:rPr>
          <w:rFonts w:ascii="Times New Roman" w:hAnsi="Times New Roman"/>
          <w:color w:val="auto"/>
          <w:sz w:val="22"/>
          <w:szCs w:val="22"/>
          <w:lang w:val="sk-SK"/>
        </w:rPr>
        <w:t xml:space="preserve"> riadenia a kontroly;</w:t>
      </w:r>
    </w:p>
    <w:p w14:paraId="2D39976E" w14:textId="70088560" w:rsidR="00383B50" w:rsidRPr="007C49E8" w:rsidRDefault="00FD0D6D" w:rsidP="00D218E5">
      <w:pPr>
        <w:pStyle w:val="BodyText1"/>
        <w:numPr>
          <w:ilvl w:val="0"/>
          <w:numId w:val="3"/>
        </w:numPr>
        <w:spacing w:line="276" w:lineRule="auto"/>
        <w:rPr>
          <w:rFonts w:ascii="Times New Roman" w:hAnsi="Times New Roman"/>
          <w:color w:val="auto"/>
          <w:sz w:val="22"/>
          <w:szCs w:val="22"/>
          <w:lang w:val="sk-SK"/>
        </w:rPr>
      </w:pPr>
      <w:r w:rsidRPr="007C49E8">
        <w:rPr>
          <w:rFonts w:ascii="Times New Roman" w:hAnsi="Times New Roman"/>
          <w:color w:val="auto"/>
          <w:sz w:val="22"/>
          <w:szCs w:val="22"/>
          <w:lang w:val="sk-SK"/>
        </w:rPr>
        <w:t xml:space="preserve">koho sa týka dané riziko? – tu </w:t>
      </w:r>
      <w:r w:rsidR="004D51AB" w:rsidRPr="007C49E8">
        <w:rPr>
          <w:rFonts w:ascii="Times New Roman" w:hAnsi="Times New Roman"/>
          <w:color w:val="auto"/>
          <w:sz w:val="22"/>
          <w:szCs w:val="22"/>
          <w:lang w:val="sk-SK"/>
        </w:rPr>
        <w:t xml:space="preserve">sú </w:t>
      </w:r>
      <w:r w:rsidRPr="007C49E8">
        <w:rPr>
          <w:rFonts w:ascii="Times New Roman" w:hAnsi="Times New Roman"/>
          <w:color w:val="auto"/>
          <w:sz w:val="22"/>
          <w:szCs w:val="22"/>
          <w:lang w:val="sk-SK"/>
        </w:rPr>
        <w:t>uvedené podrobnosti o </w:t>
      </w:r>
      <w:r w:rsidR="004D51AB" w:rsidRPr="007C49E8">
        <w:rPr>
          <w:rFonts w:ascii="Times New Roman" w:hAnsi="Times New Roman"/>
          <w:color w:val="auto"/>
          <w:sz w:val="22"/>
          <w:szCs w:val="22"/>
          <w:lang w:val="sk-SK"/>
        </w:rPr>
        <w:t>subjektoch</w:t>
      </w:r>
      <w:r w:rsidRPr="007C49E8">
        <w:rPr>
          <w:rFonts w:ascii="Times New Roman" w:hAnsi="Times New Roman"/>
          <w:color w:val="auto"/>
          <w:sz w:val="22"/>
          <w:szCs w:val="22"/>
          <w:lang w:val="sk-SK"/>
        </w:rPr>
        <w:t xml:space="preserve">, v ktorých sú jednotlivci alebo aktéri zapojení do páchania podvodov, napríklad </w:t>
      </w:r>
      <w:r w:rsidR="009821ED" w:rsidRPr="007C49E8">
        <w:rPr>
          <w:rFonts w:ascii="Times New Roman" w:hAnsi="Times New Roman"/>
          <w:color w:val="auto"/>
          <w:sz w:val="22"/>
          <w:szCs w:val="22"/>
          <w:lang w:val="sk-SK"/>
        </w:rPr>
        <w:t>R</w:t>
      </w:r>
      <w:r w:rsidRPr="007C49E8">
        <w:rPr>
          <w:rFonts w:ascii="Times New Roman" w:hAnsi="Times New Roman"/>
          <w:color w:val="auto"/>
          <w:sz w:val="22"/>
          <w:szCs w:val="22"/>
          <w:lang w:val="sk-SK"/>
        </w:rPr>
        <w:t>O, prijímatelia, tretie strany a pod.;</w:t>
      </w:r>
    </w:p>
    <w:p w14:paraId="79DC108B" w14:textId="25B6961C" w:rsidR="00FD0D6D" w:rsidRPr="007C49E8" w:rsidRDefault="00FD0D6D" w:rsidP="00D218E5">
      <w:pPr>
        <w:pStyle w:val="BodyText1"/>
        <w:numPr>
          <w:ilvl w:val="0"/>
          <w:numId w:val="3"/>
        </w:numPr>
        <w:spacing w:line="276" w:lineRule="auto"/>
        <w:rPr>
          <w:rFonts w:ascii="Times New Roman" w:hAnsi="Times New Roman"/>
          <w:color w:val="auto"/>
          <w:sz w:val="22"/>
          <w:szCs w:val="22"/>
          <w:lang w:val="sk-SK"/>
        </w:rPr>
      </w:pPr>
      <w:r w:rsidRPr="007C49E8">
        <w:rPr>
          <w:rFonts w:ascii="Times New Roman" w:hAnsi="Times New Roman"/>
          <w:color w:val="auto"/>
          <w:sz w:val="22"/>
          <w:szCs w:val="22"/>
          <w:lang w:val="sk-SK"/>
        </w:rPr>
        <w:t xml:space="preserve">je riziko interné (v rámci </w:t>
      </w:r>
      <w:r w:rsidR="009821ED" w:rsidRPr="007C49E8">
        <w:rPr>
          <w:rFonts w:ascii="Times New Roman" w:hAnsi="Times New Roman"/>
          <w:color w:val="auto"/>
          <w:sz w:val="22"/>
          <w:szCs w:val="22"/>
          <w:lang w:val="sk-SK"/>
        </w:rPr>
        <w:t>R</w:t>
      </w:r>
      <w:r w:rsidRPr="007C49E8">
        <w:rPr>
          <w:rFonts w:ascii="Times New Roman" w:hAnsi="Times New Roman"/>
          <w:color w:val="auto"/>
          <w:sz w:val="22"/>
          <w:szCs w:val="22"/>
          <w:lang w:val="sk-SK"/>
        </w:rPr>
        <w:t xml:space="preserve">O), externé alebo je výsledkom kolúzie? – tu sa uvedú podrobnosti, či by </w:t>
      </w:r>
      <w:r w:rsidRPr="00114F64">
        <w:rPr>
          <w:rFonts w:ascii="Times New Roman" w:hAnsi="Times New Roman"/>
          <w:color w:val="auto"/>
          <w:sz w:val="22"/>
          <w:szCs w:val="22"/>
          <w:lang w:val="sk-SK"/>
        </w:rPr>
        <w:t xml:space="preserve">bol podvod interný (iba v rámci </w:t>
      </w:r>
      <w:r w:rsidR="009821ED" w:rsidRPr="00114F64">
        <w:rPr>
          <w:rFonts w:ascii="Times New Roman" w:hAnsi="Times New Roman"/>
          <w:color w:val="auto"/>
          <w:sz w:val="22"/>
          <w:szCs w:val="22"/>
          <w:lang w:val="sk-SK"/>
        </w:rPr>
        <w:t>R</w:t>
      </w:r>
      <w:r w:rsidRPr="00114F64">
        <w:rPr>
          <w:rFonts w:ascii="Times New Roman" w:hAnsi="Times New Roman"/>
          <w:color w:val="auto"/>
          <w:sz w:val="22"/>
          <w:szCs w:val="22"/>
          <w:lang w:val="sk-SK"/>
        </w:rPr>
        <w:t xml:space="preserve">O), externý (iba v rámci jedného z orgánov, ktoré sú mimo </w:t>
      </w:r>
      <w:r w:rsidR="00114F64" w:rsidRPr="00450DEB">
        <w:rPr>
          <w:rFonts w:ascii="Times New Roman" w:hAnsi="Times New Roman"/>
          <w:color w:val="auto"/>
          <w:sz w:val="22"/>
          <w:szCs w:val="22"/>
          <w:lang w:val="sk-SK"/>
        </w:rPr>
        <w:t>RO</w:t>
      </w:r>
      <w:r w:rsidRPr="00114F64">
        <w:rPr>
          <w:rFonts w:ascii="Times New Roman" w:hAnsi="Times New Roman"/>
          <w:color w:val="auto"/>
          <w:sz w:val="22"/>
          <w:szCs w:val="22"/>
          <w:lang w:val="sk-SK"/>
        </w:rPr>
        <w:t>) alebo by bol výsledkom kolúzie (týkal by sa jedného</w:t>
      </w:r>
      <w:r w:rsidRPr="007C49E8">
        <w:rPr>
          <w:rFonts w:ascii="Times New Roman" w:hAnsi="Times New Roman"/>
          <w:color w:val="auto"/>
          <w:sz w:val="22"/>
          <w:szCs w:val="22"/>
          <w:lang w:val="sk-SK"/>
        </w:rPr>
        <w:t xml:space="preserve"> z viacerých orgán</w:t>
      </w:r>
      <w:r w:rsidR="004D51AB" w:rsidRPr="007C49E8">
        <w:rPr>
          <w:rFonts w:ascii="Times New Roman" w:hAnsi="Times New Roman"/>
          <w:color w:val="auto"/>
          <w:sz w:val="22"/>
          <w:szCs w:val="22"/>
          <w:lang w:val="sk-SK"/>
        </w:rPr>
        <w:t>o</w:t>
      </w:r>
      <w:r w:rsidRPr="007C49E8">
        <w:rPr>
          <w:rFonts w:ascii="Times New Roman" w:hAnsi="Times New Roman"/>
          <w:color w:val="auto"/>
          <w:sz w:val="22"/>
          <w:szCs w:val="22"/>
          <w:lang w:val="sk-SK"/>
        </w:rPr>
        <w:t>v)</w:t>
      </w:r>
    </w:p>
    <w:p w14:paraId="0E2E323F" w14:textId="7C264CDD" w:rsidR="00B307F6" w:rsidRPr="007C49E8" w:rsidRDefault="00B307F6" w:rsidP="00B307F6">
      <w:pPr>
        <w:pStyle w:val="BodyText1"/>
        <w:spacing w:line="276" w:lineRule="auto"/>
        <w:rPr>
          <w:rFonts w:ascii="Times New Roman" w:hAnsi="Times New Roman"/>
          <w:color w:val="auto"/>
          <w:sz w:val="22"/>
          <w:szCs w:val="22"/>
          <w:lang w:val="sk-SK"/>
        </w:rPr>
      </w:pPr>
      <w:r w:rsidRPr="007C49E8">
        <w:rPr>
          <w:rFonts w:ascii="Times New Roman" w:hAnsi="Times New Roman"/>
          <w:color w:val="auto"/>
          <w:sz w:val="22"/>
          <w:szCs w:val="22"/>
          <w:lang w:val="sk-SK"/>
        </w:rPr>
        <w:t>Zoznam rizík podvodov za jednotlivé oblasti:</w:t>
      </w:r>
    </w:p>
    <w:p w14:paraId="1EE56D2D" w14:textId="5D557EDF" w:rsidR="00BD26BE" w:rsidRPr="00A6788F" w:rsidRDefault="005E7A07" w:rsidP="00BD26BE">
      <w:pPr>
        <w:pStyle w:val="BodyText1"/>
        <w:numPr>
          <w:ilvl w:val="0"/>
          <w:numId w:val="29"/>
        </w:numPr>
        <w:spacing w:line="276" w:lineRule="auto"/>
        <w:ind w:left="786"/>
        <w:rPr>
          <w:rFonts w:ascii="Times New Roman" w:hAnsi="Times New Roman"/>
          <w:color w:val="auto"/>
          <w:sz w:val="22"/>
          <w:szCs w:val="22"/>
          <w:lang w:val="sk-SK"/>
        </w:rPr>
      </w:pPr>
      <w:r w:rsidRPr="00A6788F">
        <w:rPr>
          <w:rFonts w:ascii="Times New Roman" w:hAnsi="Times New Roman"/>
          <w:color w:val="auto"/>
          <w:sz w:val="22"/>
          <w:szCs w:val="22"/>
          <w:lang w:val="sk-SK"/>
        </w:rPr>
        <w:lastRenderedPageBreak/>
        <w:t>V</w:t>
      </w:r>
      <w:r w:rsidR="00BD26BE" w:rsidRPr="00A6788F">
        <w:rPr>
          <w:rFonts w:ascii="Times New Roman" w:hAnsi="Times New Roman"/>
          <w:color w:val="auto"/>
          <w:sz w:val="22"/>
          <w:szCs w:val="22"/>
          <w:lang w:val="sk-SK"/>
        </w:rPr>
        <w:t>ýber</w:t>
      </w:r>
      <w:r w:rsidRPr="00A6788F">
        <w:rPr>
          <w:rFonts w:ascii="Times New Roman" w:hAnsi="Times New Roman"/>
          <w:color w:val="auto"/>
          <w:sz w:val="22"/>
          <w:szCs w:val="22"/>
          <w:lang w:val="sk-SK"/>
        </w:rPr>
        <w:t xml:space="preserve"> </w:t>
      </w:r>
      <w:r w:rsidR="00BD26BE" w:rsidRPr="00A6788F">
        <w:rPr>
          <w:rFonts w:ascii="Times New Roman" w:hAnsi="Times New Roman"/>
          <w:color w:val="auto"/>
          <w:sz w:val="22"/>
          <w:szCs w:val="22"/>
          <w:lang w:val="sk-SK"/>
        </w:rPr>
        <w:t>uchádzača (výber projektov)</w:t>
      </w:r>
    </w:p>
    <w:p w14:paraId="629A190F" w14:textId="1DD2BF5A" w:rsidR="00BD26BE" w:rsidRPr="00A6788F" w:rsidRDefault="005E7A07" w:rsidP="00BD26BE">
      <w:pPr>
        <w:pStyle w:val="BodyText1"/>
        <w:numPr>
          <w:ilvl w:val="0"/>
          <w:numId w:val="29"/>
        </w:numPr>
        <w:spacing w:line="276" w:lineRule="auto"/>
        <w:ind w:left="786"/>
        <w:rPr>
          <w:rFonts w:ascii="Times New Roman" w:hAnsi="Times New Roman"/>
          <w:color w:val="auto"/>
          <w:sz w:val="22"/>
          <w:szCs w:val="22"/>
          <w:lang w:val="sk-SK"/>
        </w:rPr>
      </w:pPr>
      <w:r w:rsidRPr="00A6788F">
        <w:rPr>
          <w:rFonts w:ascii="Times New Roman" w:hAnsi="Times New Roman"/>
          <w:color w:val="auto"/>
          <w:sz w:val="22"/>
          <w:szCs w:val="22"/>
          <w:lang w:val="sk-SK"/>
        </w:rPr>
        <w:t>I</w:t>
      </w:r>
      <w:r w:rsidR="00BD26BE" w:rsidRPr="00A6788F">
        <w:rPr>
          <w:rFonts w:ascii="Times New Roman" w:hAnsi="Times New Roman"/>
          <w:color w:val="auto"/>
          <w:sz w:val="22"/>
          <w:szCs w:val="22"/>
          <w:lang w:val="sk-SK"/>
        </w:rPr>
        <w:t>mplementáci</w:t>
      </w:r>
      <w:r w:rsidRPr="00A6788F">
        <w:rPr>
          <w:rFonts w:ascii="Times New Roman" w:hAnsi="Times New Roman"/>
          <w:color w:val="auto"/>
          <w:sz w:val="22"/>
          <w:szCs w:val="22"/>
          <w:lang w:val="sk-SK"/>
        </w:rPr>
        <w:t xml:space="preserve">a </w:t>
      </w:r>
      <w:r w:rsidR="00BD26BE" w:rsidRPr="00A6788F">
        <w:rPr>
          <w:rFonts w:ascii="Times New Roman" w:hAnsi="Times New Roman"/>
          <w:color w:val="auto"/>
          <w:sz w:val="22"/>
          <w:szCs w:val="22"/>
          <w:lang w:val="sk-SK"/>
        </w:rPr>
        <w:t>(realizácia programov, vykonávanie kontrol RO)</w:t>
      </w:r>
    </w:p>
    <w:p w14:paraId="4CC039C0" w14:textId="6E671CF6" w:rsidR="00BD26BE" w:rsidRPr="00A6788F" w:rsidRDefault="005E7A07" w:rsidP="00BD26BE">
      <w:pPr>
        <w:pStyle w:val="BodyText1"/>
        <w:numPr>
          <w:ilvl w:val="0"/>
          <w:numId w:val="29"/>
        </w:numPr>
        <w:spacing w:line="276" w:lineRule="auto"/>
        <w:ind w:left="786"/>
        <w:rPr>
          <w:rFonts w:ascii="Times New Roman" w:hAnsi="Times New Roman"/>
          <w:color w:val="auto"/>
          <w:sz w:val="22"/>
          <w:szCs w:val="22"/>
          <w:lang w:val="sk-SK"/>
        </w:rPr>
      </w:pPr>
      <w:r w:rsidRPr="00A6788F">
        <w:rPr>
          <w:rFonts w:ascii="Times New Roman" w:hAnsi="Times New Roman"/>
          <w:color w:val="auto"/>
          <w:sz w:val="22"/>
          <w:szCs w:val="22"/>
          <w:lang w:val="sk-SK"/>
        </w:rPr>
        <w:t>Platby</w:t>
      </w:r>
    </w:p>
    <w:p w14:paraId="2A2D9F8E" w14:textId="1FA4960D" w:rsidR="00B307F6" w:rsidRPr="00A6788F" w:rsidRDefault="001E1B04" w:rsidP="00450DEB">
      <w:pPr>
        <w:pStyle w:val="BodyText1"/>
        <w:numPr>
          <w:ilvl w:val="0"/>
          <w:numId w:val="29"/>
        </w:numPr>
        <w:spacing w:line="276" w:lineRule="auto"/>
        <w:ind w:hanging="294"/>
        <w:rPr>
          <w:rFonts w:ascii="Times New Roman" w:hAnsi="Times New Roman"/>
          <w:color w:val="auto"/>
          <w:sz w:val="22"/>
          <w:szCs w:val="22"/>
          <w:lang w:val="sk-SK"/>
        </w:rPr>
      </w:pPr>
      <w:r w:rsidRPr="00A6788F">
        <w:rPr>
          <w:rFonts w:ascii="Times New Roman" w:hAnsi="Times New Roman"/>
          <w:color w:val="auto"/>
          <w:sz w:val="22"/>
          <w:szCs w:val="22"/>
          <w:lang w:val="sk-SK"/>
        </w:rPr>
        <w:t>P</w:t>
      </w:r>
      <w:r w:rsidR="00B307F6" w:rsidRPr="00A6788F">
        <w:rPr>
          <w:rFonts w:ascii="Times New Roman" w:hAnsi="Times New Roman"/>
          <w:color w:val="auto"/>
          <w:sz w:val="22"/>
          <w:szCs w:val="22"/>
          <w:lang w:val="sk-SK"/>
        </w:rPr>
        <w:t xml:space="preserve">riame obstarávanie </w:t>
      </w:r>
      <w:r w:rsidR="00B52831" w:rsidRPr="00A6788F">
        <w:rPr>
          <w:rFonts w:ascii="Times New Roman" w:hAnsi="Times New Roman"/>
          <w:color w:val="auto"/>
          <w:sz w:val="22"/>
          <w:szCs w:val="22"/>
          <w:lang w:val="sk-SK"/>
        </w:rPr>
        <w:t>R</w:t>
      </w:r>
      <w:r w:rsidR="00B307F6" w:rsidRPr="00A6788F">
        <w:rPr>
          <w:rFonts w:ascii="Times New Roman" w:hAnsi="Times New Roman"/>
          <w:color w:val="auto"/>
          <w:sz w:val="22"/>
          <w:szCs w:val="22"/>
          <w:lang w:val="sk-SK"/>
        </w:rPr>
        <w:t>O</w:t>
      </w:r>
    </w:p>
    <w:p w14:paraId="2D399778" w14:textId="28E25D39" w:rsidR="00383B50" w:rsidRPr="002A4776" w:rsidRDefault="00383B50" w:rsidP="00C3571B">
      <w:pPr>
        <w:pStyle w:val="Nadpis4"/>
        <w:spacing w:after="0" w:line="276" w:lineRule="auto"/>
        <w:ind w:left="0" w:firstLine="0"/>
        <w:rPr>
          <w:rFonts w:ascii="Times New Roman" w:hAnsi="Times New Roman"/>
          <w:b/>
          <w:bCs/>
          <w:sz w:val="22"/>
          <w:szCs w:val="22"/>
        </w:rPr>
      </w:pPr>
      <w:r w:rsidRPr="00A6788F">
        <w:rPr>
          <w:rFonts w:ascii="Times New Roman" w:hAnsi="Times New Roman"/>
          <w:b/>
          <w:bCs/>
          <w:sz w:val="22"/>
          <w:szCs w:val="22"/>
        </w:rPr>
        <w:t>Charakteristika atribútov rizika</w:t>
      </w:r>
    </w:p>
    <w:p w14:paraId="2D399779" w14:textId="26721D82" w:rsidR="00383B50" w:rsidRPr="002A4776" w:rsidRDefault="00383B50" w:rsidP="00C3571B">
      <w:pPr>
        <w:pStyle w:val="BodyText1"/>
        <w:numPr>
          <w:ilvl w:val="0"/>
          <w:numId w:val="6"/>
        </w:numPr>
        <w:spacing w:line="276" w:lineRule="auto"/>
        <w:rPr>
          <w:rFonts w:ascii="Times New Roman" w:hAnsi="Times New Roman"/>
          <w:color w:val="auto"/>
          <w:sz w:val="22"/>
          <w:szCs w:val="22"/>
          <w:lang w:val="sk-SK"/>
        </w:rPr>
      </w:pPr>
      <w:r w:rsidRPr="002A4776">
        <w:rPr>
          <w:rFonts w:ascii="Times New Roman" w:hAnsi="Times New Roman"/>
          <w:b/>
          <w:color w:val="auto"/>
          <w:sz w:val="22"/>
          <w:szCs w:val="22"/>
          <w:lang w:val="sk-SK"/>
        </w:rPr>
        <w:t>Významnosť / dopad (D)</w:t>
      </w:r>
      <w:r w:rsidRPr="002A4776">
        <w:rPr>
          <w:rFonts w:ascii="Times New Roman" w:hAnsi="Times New Roman"/>
          <w:color w:val="auto"/>
          <w:sz w:val="22"/>
          <w:szCs w:val="22"/>
          <w:lang w:val="sk-SK"/>
        </w:rPr>
        <w:t xml:space="preserve"> – vyjadruje mieru dôležitosti a závažnosti negatívneho dopadu v prípade, že sa riziko vyskytne; čím má významnosť priradenú vyššiu hodnotu, tým je väčšia významnosť negatívne</w:t>
      </w:r>
      <w:r w:rsidR="008041D7" w:rsidRPr="002A4776">
        <w:rPr>
          <w:rFonts w:ascii="Times New Roman" w:hAnsi="Times New Roman"/>
          <w:color w:val="auto"/>
          <w:sz w:val="22"/>
          <w:szCs w:val="22"/>
          <w:lang w:val="sk-SK"/>
        </w:rPr>
        <w:t>ho dopadu rizika na ciele</w:t>
      </w:r>
      <w:r w:rsidRPr="002A4776">
        <w:rPr>
          <w:rFonts w:ascii="Times New Roman" w:hAnsi="Times New Roman"/>
          <w:color w:val="auto"/>
          <w:sz w:val="22"/>
          <w:szCs w:val="22"/>
          <w:lang w:val="sk-SK"/>
        </w:rPr>
        <w:t xml:space="preserve"> – hodnotenie atribútu prebieha na stupnici v </w:t>
      </w:r>
      <w:r w:rsidRPr="002A4776">
        <w:rPr>
          <w:rFonts w:ascii="Times New Roman" w:hAnsi="Times New Roman"/>
          <w:sz w:val="22"/>
          <w:szCs w:val="22"/>
          <w:lang w:val="sk-SK" w:eastAsia="cs-CZ"/>
        </w:rPr>
        <w:t>tabuľke „Stupnica pre hodnotenie</w:t>
      </w:r>
      <w:r w:rsidRPr="002A4776">
        <w:rPr>
          <w:rFonts w:ascii="Times New Roman" w:hAnsi="Times New Roman"/>
          <w:sz w:val="22"/>
          <w:szCs w:val="22"/>
          <w:lang w:eastAsia="cs-CZ"/>
        </w:rPr>
        <w:t xml:space="preserve"> Významnosti / dopadu (D) rizika“</w:t>
      </w:r>
      <w:r w:rsidRPr="002A4776">
        <w:rPr>
          <w:rFonts w:ascii="Times New Roman" w:hAnsi="Times New Roman"/>
          <w:color w:val="auto"/>
          <w:sz w:val="22"/>
          <w:szCs w:val="22"/>
          <w:lang w:val="sk-SK"/>
        </w:rPr>
        <w:t> tejto kapitoly.</w:t>
      </w:r>
    </w:p>
    <w:p w14:paraId="2D39977A" w14:textId="77777777" w:rsidR="00383B50" w:rsidRPr="002A4776" w:rsidRDefault="00383B50" w:rsidP="00C3571B">
      <w:pPr>
        <w:pStyle w:val="BodyText1"/>
        <w:numPr>
          <w:ilvl w:val="0"/>
          <w:numId w:val="6"/>
        </w:numPr>
        <w:spacing w:line="276" w:lineRule="auto"/>
        <w:rPr>
          <w:rFonts w:ascii="Times New Roman" w:hAnsi="Times New Roman"/>
          <w:color w:val="auto"/>
          <w:sz w:val="22"/>
          <w:szCs w:val="22"/>
          <w:lang w:val="sk-SK"/>
        </w:rPr>
      </w:pPr>
      <w:r w:rsidRPr="002A4776">
        <w:rPr>
          <w:rFonts w:ascii="Times New Roman" w:hAnsi="Times New Roman"/>
          <w:b/>
          <w:color w:val="auto"/>
          <w:sz w:val="22"/>
          <w:szCs w:val="22"/>
          <w:lang w:val="sk-SK"/>
        </w:rPr>
        <w:t xml:space="preserve">Pravdepodobnosť vzniku / opakovateľnosť (P) </w:t>
      </w:r>
      <w:r w:rsidRPr="002A4776">
        <w:rPr>
          <w:rFonts w:ascii="Times New Roman" w:hAnsi="Times New Roman"/>
          <w:color w:val="auto"/>
          <w:sz w:val="22"/>
          <w:szCs w:val="22"/>
          <w:lang w:val="sk-SK"/>
        </w:rPr>
        <w:t>– vyjadruje mieru pravdepodobnosti vzniku nepriaznivej udalosti, resp. vzniku rizika; čím má pravdepodobnosť priradenú vyššiu hodnotu, tým je vyššia pravdepodobnosť vzniku nepriaznivej udalosti a jej opakovateľnosti – hodnotenie atribútu prebieha na stupnici uvedenej v </w:t>
      </w:r>
      <w:r w:rsidRPr="002A4776">
        <w:rPr>
          <w:rFonts w:ascii="Times New Roman" w:hAnsi="Times New Roman"/>
          <w:sz w:val="22"/>
          <w:szCs w:val="22"/>
          <w:lang w:val="sk-SK" w:eastAsia="cs-CZ"/>
        </w:rPr>
        <w:t>tabuľke „Stupnica pre hodnotenie Pravdepodobnosti vzniku / opakovateľnosti (P) rizika“</w:t>
      </w:r>
      <w:r w:rsidRPr="002A4776">
        <w:rPr>
          <w:rFonts w:ascii="Times New Roman" w:hAnsi="Times New Roman"/>
          <w:color w:val="auto"/>
          <w:sz w:val="22"/>
          <w:szCs w:val="22"/>
          <w:lang w:val="sk-SK"/>
        </w:rPr>
        <w:t xml:space="preserve"> tejto kapitoly.</w:t>
      </w:r>
    </w:p>
    <w:p w14:paraId="2D39977B" w14:textId="77777777" w:rsidR="00383B50" w:rsidRPr="002A4776" w:rsidRDefault="00383B50" w:rsidP="00C3571B">
      <w:pPr>
        <w:pStyle w:val="Nadpis4"/>
        <w:spacing w:after="0" w:line="276" w:lineRule="auto"/>
        <w:ind w:left="0" w:firstLine="0"/>
        <w:rPr>
          <w:rFonts w:ascii="Times New Roman" w:hAnsi="Times New Roman"/>
          <w:b/>
          <w:bCs/>
          <w:sz w:val="22"/>
          <w:szCs w:val="22"/>
        </w:rPr>
      </w:pPr>
      <w:r w:rsidRPr="002A4776">
        <w:rPr>
          <w:rFonts w:ascii="Times New Roman" w:hAnsi="Times New Roman"/>
          <w:b/>
          <w:bCs/>
          <w:sz w:val="22"/>
          <w:szCs w:val="22"/>
        </w:rPr>
        <w:t>Posudzovanie atribútov rizika</w:t>
      </w:r>
    </w:p>
    <w:p w14:paraId="5A3D350D" w14:textId="5515B547" w:rsidR="003237CF" w:rsidRPr="00BD6445" w:rsidRDefault="00383B50" w:rsidP="00BD6445">
      <w:pPr>
        <w:pStyle w:val="Odsekzoznamu"/>
        <w:spacing w:line="276" w:lineRule="auto"/>
        <w:ind w:left="0"/>
        <w:jc w:val="both"/>
        <w:rPr>
          <w:rFonts w:ascii="Times New Roman" w:hAnsi="Times New Roman" w:cs="Times New Roman"/>
          <w:sz w:val="22"/>
        </w:rPr>
      </w:pPr>
      <w:r w:rsidRPr="002A4776">
        <w:rPr>
          <w:rFonts w:ascii="Times New Roman" w:hAnsi="Times New Roman" w:cs="Times New Roman"/>
          <w:sz w:val="22"/>
        </w:rPr>
        <w:t>Kvantitatívne vyjadrenia atribútov rizika sa vykonáva na stupniciach dopadu rizika (D) a pravdepodobnosti rizika (P), ktoré sú odvodené z  Komplexnej analýzy.</w:t>
      </w:r>
    </w:p>
    <w:p w14:paraId="507AEAE4" w14:textId="77777777" w:rsidR="003237CF" w:rsidRPr="00BD6445" w:rsidRDefault="003237CF" w:rsidP="00C3571B">
      <w:pPr>
        <w:spacing w:line="276" w:lineRule="auto"/>
        <w:rPr>
          <w:rFonts w:ascii="Times New Roman" w:hAnsi="Times New Roman"/>
          <w:sz w:val="22"/>
          <w:szCs w:val="22"/>
          <w:highlight w:val="yellow"/>
          <w:lang w:eastAsia="cs-CZ"/>
        </w:rPr>
      </w:pPr>
    </w:p>
    <w:p w14:paraId="2D39977E" w14:textId="65C84E91" w:rsidR="00383B50" w:rsidRPr="002A4776" w:rsidRDefault="00383B50" w:rsidP="00C3571B">
      <w:pPr>
        <w:spacing w:line="276" w:lineRule="auto"/>
        <w:rPr>
          <w:rFonts w:ascii="Times New Roman" w:hAnsi="Times New Roman"/>
          <w:sz w:val="22"/>
          <w:szCs w:val="22"/>
          <w:lang w:eastAsia="cs-CZ"/>
        </w:rPr>
      </w:pPr>
      <w:r w:rsidRPr="002A4776">
        <w:rPr>
          <w:rFonts w:ascii="Times New Roman" w:hAnsi="Times New Roman"/>
          <w:sz w:val="22"/>
          <w:szCs w:val="22"/>
          <w:lang w:eastAsia="cs-CZ"/>
        </w:rPr>
        <w:t>Tabuľka: Stupnica pre hodnotenie Významnosti / Dopadu (D) rizika</w:t>
      </w:r>
    </w:p>
    <w:p w14:paraId="52B9FBD9" w14:textId="77777777" w:rsidR="00421FB3" w:rsidRPr="002A4776" w:rsidRDefault="00421FB3" w:rsidP="00C3571B">
      <w:pPr>
        <w:spacing w:line="276" w:lineRule="auto"/>
        <w:rPr>
          <w:rFonts w:ascii="Times New Roman" w:hAnsi="Times New Roman"/>
          <w:sz w:val="22"/>
          <w:szCs w:val="22"/>
          <w:lang w:eastAsia="cs-CZ"/>
        </w:rPr>
      </w:pPr>
    </w:p>
    <w:tbl>
      <w:tblPr>
        <w:tblW w:w="9062" w:type="dxa"/>
        <w:tblInd w:w="-10" w:type="dxa"/>
        <w:tblCellMar>
          <w:left w:w="0" w:type="dxa"/>
          <w:right w:w="0" w:type="dxa"/>
        </w:tblCellMar>
        <w:tblLook w:val="04A0" w:firstRow="1" w:lastRow="0" w:firstColumn="1" w:lastColumn="0" w:noHBand="0" w:noVBand="1"/>
      </w:tblPr>
      <w:tblGrid>
        <w:gridCol w:w="1051"/>
        <w:gridCol w:w="269"/>
        <w:gridCol w:w="1618"/>
        <w:gridCol w:w="1310"/>
        <w:gridCol w:w="2092"/>
        <w:gridCol w:w="1692"/>
        <w:gridCol w:w="1030"/>
      </w:tblGrid>
      <w:tr w:rsidR="009463E5" w:rsidRPr="002A4776" w14:paraId="5156BA32" w14:textId="6D07EF8C" w:rsidTr="003237CF">
        <w:trPr>
          <w:trHeight w:val="1464"/>
        </w:trPr>
        <w:tc>
          <w:tcPr>
            <w:tcW w:w="1051"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14:paraId="589EA3B9" w14:textId="6C854FBB"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b/>
                <w:bCs/>
                <w:color w:val="000000"/>
                <w:sz w:val="22"/>
                <w:szCs w:val="22"/>
              </w:rPr>
              <w:t>Dopad rizika (D) – os x</w:t>
            </w:r>
          </w:p>
        </w:tc>
        <w:tc>
          <w:tcPr>
            <w:tcW w:w="269" w:type="dxa"/>
            <w:noWrap/>
            <w:tcMar>
              <w:top w:w="0" w:type="dxa"/>
              <w:left w:w="70" w:type="dxa"/>
              <w:bottom w:w="0" w:type="dxa"/>
              <w:right w:w="70" w:type="dxa"/>
            </w:tcMar>
            <w:vAlign w:val="center"/>
            <w:hideMark/>
          </w:tcPr>
          <w:p w14:paraId="58FBD4FC" w14:textId="77777777" w:rsidR="00421FB3" w:rsidRPr="002A4776" w:rsidRDefault="00421FB3" w:rsidP="00421FB3">
            <w:pPr>
              <w:spacing w:line="276" w:lineRule="auto"/>
              <w:jc w:val="center"/>
              <w:rPr>
                <w:rFonts w:ascii="Times New Roman" w:hAnsi="Times New Roman"/>
                <w:b/>
                <w:bCs/>
                <w:sz w:val="22"/>
                <w:szCs w:val="22"/>
              </w:rPr>
            </w:pPr>
          </w:p>
        </w:tc>
        <w:tc>
          <w:tcPr>
            <w:tcW w:w="1618" w:type="dxa"/>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5026AD26" w14:textId="53883A91" w:rsidR="00421FB3" w:rsidRPr="002A4776" w:rsidRDefault="008A7BA8" w:rsidP="00421FB3">
            <w:pPr>
              <w:spacing w:line="276" w:lineRule="auto"/>
              <w:jc w:val="center"/>
              <w:rPr>
                <w:rFonts w:ascii="Times New Roman" w:hAnsi="Times New Roman"/>
                <w:b/>
                <w:bCs/>
                <w:sz w:val="22"/>
                <w:szCs w:val="22"/>
              </w:rPr>
            </w:pPr>
            <w:r w:rsidRPr="002A4776">
              <w:rPr>
                <w:rFonts w:ascii="Times New Roman" w:hAnsi="Times New Roman"/>
                <w:b/>
                <w:bCs/>
                <w:color w:val="000000"/>
                <w:sz w:val="22"/>
                <w:szCs w:val="22"/>
              </w:rPr>
              <w:t>Posudzovaný rozsah (školská hodnotiaca stupnica)</w:t>
            </w:r>
          </w:p>
        </w:tc>
        <w:tc>
          <w:tcPr>
            <w:tcW w:w="1310" w:type="dxa"/>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6CD7054" w14:textId="705EBF8A"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b/>
                <w:bCs/>
                <w:color w:val="000000"/>
                <w:sz w:val="22"/>
                <w:szCs w:val="22"/>
              </w:rPr>
              <w:t>Stupeň dopadu</w:t>
            </w:r>
          </w:p>
        </w:tc>
        <w:tc>
          <w:tcPr>
            <w:tcW w:w="2092" w:type="dxa"/>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25B4B70" w14:textId="3A45EF22"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b/>
                <w:bCs/>
                <w:color w:val="000000"/>
                <w:sz w:val="22"/>
                <w:szCs w:val="22"/>
              </w:rPr>
              <w:t>Slovné vyjadrenie závažnosti dopadu rizík na úrovni systémov riadenia a kontroly</w:t>
            </w:r>
          </w:p>
        </w:tc>
        <w:tc>
          <w:tcPr>
            <w:tcW w:w="1598" w:type="dxa"/>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69EA85" w14:textId="75EA3FFE" w:rsidR="00421FB3" w:rsidRPr="002A4776" w:rsidRDefault="00421FB3" w:rsidP="008A7BA8">
            <w:pPr>
              <w:spacing w:line="276" w:lineRule="auto"/>
              <w:jc w:val="center"/>
              <w:rPr>
                <w:rFonts w:ascii="Times New Roman" w:hAnsi="Times New Roman"/>
                <w:b/>
                <w:bCs/>
                <w:sz w:val="22"/>
                <w:szCs w:val="22"/>
              </w:rPr>
            </w:pPr>
            <w:r w:rsidRPr="002A4776">
              <w:rPr>
                <w:rFonts w:ascii="Times New Roman" w:hAnsi="Times New Roman"/>
                <w:b/>
                <w:bCs/>
                <w:color w:val="000000"/>
                <w:sz w:val="22"/>
                <w:szCs w:val="22"/>
              </w:rPr>
              <w:t>Slovné vyjad</w:t>
            </w:r>
            <w:r w:rsidR="008A7BA8" w:rsidRPr="002A4776">
              <w:rPr>
                <w:rFonts w:ascii="Times New Roman" w:hAnsi="Times New Roman"/>
                <w:b/>
                <w:bCs/>
                <w:color w:val="000000"/>
                <w:sz w:val="22"/>
                <w:szCs w:val="22"/>
              </w:rPr>
              <w:t xml:space="preserve">renie závažnosti dopadu rizík </w:t>
            </w:r>
            <w:r w:rsidRPr="002A4776">
              <w:rPr>
                <w:rFonts w:ascii="Times New Roman" w:hAnsi="Times New Roman"/>
                <w:b/>
                <w:bCs/>
                <w:color w:val="000000"/>
                <w:sz w:val="22"/>
                <w:szCs w:val="22"/>
              </w:rPr>
              <w:t xml:space="preserve"> možného podvodu </w:t>
            </w:r>
          </w:p>
        </w:tc>
        <w:tc>
          <w:tcPr>
            <w:tcW w:w="1124" w:type="dxa"/>
            <w:tcBorders>
              <w:top w:val="single" w:sz="8" w:space="0" w:color="auto"/>
              <w:left w:val="nil"/>
              <w:bottom w:val="single" w:sz="8" w:space="0" w:color="auto"/>
              <w:right w:val="single" w:sz="8" w:space="0" w:color="auto"/>
            </w:tcBorders>
            <w:shd w:val="clear" w:color="auto" w:fill="D9D9D9"/>
            <w:vAlign w:val="center"/>
          </w:tcPr>
          <w:p w14:paraId="647DB1E3" w14:textId="46AEF16F" w:rsidR="00421FB3" w:rsidRPr="002A4776" w:rsidRDefault="00421FB3" w:rsidP="00421FB3">
            <w:pPr>
              <w:spacing w:line="276" w:lineRule="auto"/>
              <w:jc w:val="center"/>
              <w:rPr>
                <w:rFonts w:ascii="Times New Roman" w:hAnsi="Times New Roman"/>
                <w:b/>
                <w:bCs/>
                <w:color w:val="000000"/>
                <w:sz w:val="22"/>
                <w:szCs w:val="22"/>
              </w:rPr>
            </w:pPr>
            <w:r w:rsidRPr="002A4776">
              <w:rPr>
                <w:rFonts w:ascii="Times New Roman" w:hAnsi="Times New Roman"/>
                <w:b/>
                <w:bCs/>
                <w:color w:val="000000"/>
                <w:sz w:val="22"/>
                <w:szCs w:val="22"/>
              </w:rPr>
              <w:t>Odvodený počet bodov</w:t>
            </w:r>
          </w:p>
        </w:tc>
      </w:tr>
      <w:tr w:rsidR="009463E5" w:rsidRPr="002A4776" w14:paraId="32F30DD9" w14:textId="42FF5F90" w:rsidTr="003237CF">
        <w:trPr>
          <w:trHeight w:val="591"/>
        </w:trPr>
        <w:tc>
          <w:tcPr>
            <w:tcW w:w="1051" w:type="dxa"/>
            <w:noWrap/>
            <w:tcMar>
              <w:top w:w="0" w:type="dxa"/>
              <w:left w:w="70" w:type="dxa"/>
              <w:bottom w:w="0" w:type="dxa"/>
              <w:right w:w="70" w:type="dxa"/>
            </w:tcMar>
            <w:vAlign w:val="center"/>
            <w:hideMark/>
          </w:tcPr>
          <w:p w14:paraId="0731EDC1" w14:textId="77777777" w:rsidR="00421FB3" w:rsidRPr="002A4776" w:rsidRDefault="00421FB3" w:rsidP="00421FB3">
            <w:pPr>
              <w:spacing w:line="276" w:lineRule="auto"/>
              <w:jc w:val="center"/>
              <w:rPr>
                <w:rFonts w:ascii="Times New Roman" w:hAnsi="Times New Roman"/>
                <w:b/>
                <w:bCs/>
                <w:sz w:val="22"/>
                <w:szCs w:val="22"/>
              </w:rPr>
            </w:pPr>
          </w:p>
        </w:tc>
        <w:tc>
          <w:tcPr>
            <w:tcW w:w="269" w:type="dxa"/>
            <w:tcBorders>
              <w:top w:val="nil"/>
              <w:left w:val="nil"/>
              <w:bottom w:val="nil"/>
              <w:right w:val="single" w:sz="8" w:space="0" w:color="auto"/>
            </w:tcBorders>
            <w:noWrap/>
            <w:tcMar>
              <w:top w:w="0" w:type="dxa"/>
              <w:left w:w="70" w:type="dxa"/>
              <w:bottom w:w="0" w:type="dxa"/>
              <w:right w:w="70" w:type="dxa"/>
            </w:tcMar>
            <w:vAlign w:val="center"/>
            <w:hideMark/>
          </w:tcPr>
          <w:p w14:paraId="217AB392" w14:textId="77777777" w:rsidR="00421FB3" w:rsidRPr="002A4776" w:rsidRDefault="00421FB3" w:rsidP="00421FB3">
            <w:pPr>
              <w:spacing w:line="276" w:lineRule="auto"/>
              <w:jc w:val="center"/>
              <w:rPr>
                <w:rFonts w:ascii="Times New Roman" w:hAnsi="Times New Roman"/>
                <w:sz w:val="22"/>
                <w:szCs w:val="22"/>
              </w:rPr>
            </w:pPr>
          </w:p>
        </w:tc>
        <w:tc>
          <w:tcPr>
            <w:tcW w:w="16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47B330" w14:textId="2D306CDF" w:rsidR="00421FB3" w:rsidRPr="002A4776" w:rsidRDefault="00421FB3" w:rsidP="00421FB3">
            <w:pPr>
              <w:spacing w:line="276" w:lineRule="auto"/>
              <w:jc w:val="center"/>
              <w:rPr>
                <w:rFonts w:ascii="Times New Roman" w:hAnsi="Times New Roman"/>
                <w:sz w:val="22"/>
                <w:szCs w:val="22"/>
              </w:rPr>
            </w:pPr>
            <w:r w:rsidRPr="002A4776">
              <w:rPr>
                <w:rFonts w:ascii="Times New Roman" w:hAnsi="Times New Roman"/>
                <w:sz w:val="22"/>
                <w:szCs w:val="22"/>
              </w:rPr>
              <w:t>1</w:t>
            </w:r>
          </w:p>
        </w:tc>
        <w:tc>
          <w:tcPr>
            <w:tcW w:w="131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B23FC3" w14:textId="0A93E304"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b/>
                <w:bCs/>
                <w:sz w:val="22"/>
                <w:szCs w:val="22"/>
              </w:rPr>
              <w:t>obmedzený</w:t>
            </w:r>
          </w:p>
        </w:tc>
        <w:tc>
          <w:tcPr>
            <w:tcW w:w="20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44D11D" w14:textId="1C1DD5EF" w:rsidR="00421FB3" w:rsidRPr="002A4776" w:rsidRDefault="00421FB3" w:rsidP="00421FB3">
            <w:pPr>
              <w:spacing w:line="276" w:lineRule="auto"/>
              <w:jc w:val="center"/>
              <w:rPr>
                <w:rFonts w:ascii="Times New Roman" w:hAnsi="Times New Roman"/>
                <w:i/>
                <w:iCs/>
                <w:sz w:val="22"/>
                <w:szCs w:val="22"/>
              </w:rPr>
            </w:pPr>
            <w:r w:rsidRPr="002A4776">
              <w:rPr>
                <w:rFonts w:ascii="Times New Roman" w:hAnsi="Times New Roman"/>
                <w:i/>
                <w:iCs/>
                <w:color w:val="000000"/>
                <w:sz w:val="22"/>
                <w:szCs w:val="22"/>
              </w:rPr>
              <w:t>zanedbateľný</w:t>
            </w:r>
          </w:p>
        </w:tc>
        <w:tc>
          <w:tcPr>
            <w:tcW w:w="1598"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14:paraId="201724FF" w14:textId="35DFEF40"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color w:val="000000"/>
                <w:sz w:val="22"/>
                <w:szCs w:val="22"/>
              </w:rPr>
              <w:t>dopad zanedbateľný</w:t>
            </w:r>
          </w:p>
        </w:tc>
        <w:tc>
          <w:tcPr>
            <w:tcW w:w="1124" w:type="dxa"/>
            <w:tcBorders>
              <w:top w:val="nil"/>
              <w:left w:val="nil"/>
              <w:bottom w:val="single" w:sz="8" w:space="0" w:color="auto"/>
              <w:right w:val="single" w:sz="8" w:space="0" w:color="auto"/>
            </w:tcBorders>
            <w:shd w:val="clear" w:color="auto" w:fill="FFFF00"/>
            <w:vAlign w:val="center"/>
          </w:tcPr>
          <w:p w14:paraId="2F82F4A4" w14:textId="4A9AF18E" w:rsidR="00421FB3" w:rsidRPr="002A4776" w:rsidRDefault="00421FB3" w:rsidP="00417BDD">
            <w:pPr>
              <w:rPr>
                <w:sz w:val="22"/>
                <w:szCs w:val="22"/>
              </w:rPr>
            </w:pPr>
          </w:p>
          <w:p w14:paraId="5A01F738" w14:textId="27A87850" w:rsidR="00421FB3" w:rsidRPr="002A4776" w:rsidRDefault="00417BDD" w:rsidP="00421FB3">
            <w:pPr>
              <w:spacing w:line="276" w:lineRule="auto"/>
              <w:jc w:val="center"/>
              <w:rPr>
                <w:rFonts w:ascii="Times New Roman" w:hAnsi="Times New Roman"/>
                <w:b/>
                <w:bCs/>
                <w:sz w:val="22"/>
                <w:szCs w:val="22"/>
              </w:rPr>
            </w:pPr>
            <w:r w:rsidRPr="002A4776">
              <w:rPr>
                <w:rFonts w:ascii="Times New Roman" w:hAnsi="Times New Roman"/>
                <w:b/>
                <w:bCs/>
                <w:sz w:val="22"/>
                <w:szCs w:val="22"/>
              </w:rPr>
              <w:t>1</w:t>
            </w:r>
          </w:p>
        </w:tc>
      </w:tr>
      <w:tr w:rsidR="009463E5" w:rsidRPr="002A4776" w14:paraId="4AA5D2B6" w14:textId="3EE7C9C9" w:rsidTr="003237CF">
        <w:trPr>
          <w:trHeight w:val="543"/>
        </w:trPr>
        <w:tc>
          <w:tcPr>
            <w:tcW w:w="1051" w:type="dxa"/>
            <w:noWrap/>
            <w:tcMar>
              <w:top w:w="0" w:type="dxa"/>
              <w:left w:w="70" w:type="dxa"/>
              <w:bottom w:w="0" w:type="dxa"/>
              <w:right w:w="70" w:type="dxa"/>
            </w:tcMar>
            <w:vAlign w:val="center"/>
            <w:hideMark/>
          </w:tcPr>
          <w:p w14:paraId="3167150D" w14:textId="77777777" w:rsidR="00421FB3" w:rsidRPr="002A4776" w:rsidRDefault="00421FB3" w:rsidP="00421FB3">
            <w:pPr>
              <w:spacing w:line="276" w:lineRule="auto"/>
              <w:jc w:val="center"/>
              <w:rPr>
                <w:rFonts w:ascii="Times New Roman" w:hAnsi="Times New Roman"/>
                <w:b/>
                <w:bCs/>
                <w:sz w:val="22"/>
                <w:szCs w:val="22"/>
              </w:rPr>
            </w:pPr>
          </w:p>
        </w:tc>
        <w:tc>
          <w:tcPr>
            <w:tcW w:w="269" w:type="dxa"/>
            <w:tcBorders>
              <w:top w:val="nil"/>
              <w:left w:val="nil"/>
              <w:bottom w:val="nil"/>
              <w:right w:val="single" w:sz="8" w:space="0" w:color="auto"/>
            </w:tcBorders>
            <w:noWrap/>
            <w:tcMar>
              <w:top w:w="0" w:type="dxa"/>
              <w:left w:w="70" w:type="dxa"/>
              <w:bottom w:w="0" w:type="dxa"/>
              <w:right w:w="70" w:type="dxa"/>
            </w:tcMar>
            <w:vAlign w:val="center"/>
            <w:hideMark/>
          </w:tcPr>
          <w:p w14:paraId="5A9F57AE" w14:textId="77777777" w:rsidR="00421FB3" w:rsidRPr="002A4776" w:rsidRDefault="00421FB3" w:rsidP="00421FB3">
            <w:pPr>
              <w:spacing w:line="276" w:lineRule="auto"/>
              <w:jc w:val="center"/>
              <w:rPr>
                <w:rFonts w:ascii="Times New Roman" w:hAnsi="Times New Roman"/>
                <w:sz w:val="22"/>
                <w:szCs w:val="22"/>
              </w:rPr>
            </w:pPr>
          </w:p>
        </w:tc>
        <w:tc>
          <w:tcPr>
            <w:tcW w:w="16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F3A4C0" w14:textId="74A60503" w:rsidR="00421FB3" w:rsidRPr="002A4776" w:rsidRDefault="00421FB3" w:rsidP="00421FB3">
            <w:pPr>
              <w:spacing w:line="276" w:lineRule="auto"/>
              <w:jc w:val="center"/>
              <w:rPr>
                <w:rFonts w:ascii="Times New Roman" w:hAnsi="Times New Roman"/>
                <w:sz w:val="22"/>
                <w:szCs w:val="22"/>
              </w:rPr>
            </w:pPr>
            <w:r w:rsidRPr="002A4776">
              <w:rPr>
                <w:rFonts w:ascii="Times New Roman" w:hAnsi="Times New Roman"/>
                <w:sz w:val="22"/>
                <w:szCs w:val="22"/>
              </w:rPr>
              <w:t>2</w:t>
            </w:r>
          </w:p>
        </w:tc>
        <w:tc>
          <w:tcPr>
            <w:tcW w:w="131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041ADC" w14:textId="36066587"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b/>
                <w:bCs/>
                <w:sz w:val="22"/>
                <w:szCs w:val="22"/>
              </w:rPr>
              <w:t>malý</w:t>
            </w:r>
          </w:p>
        </w:tc>
        <w:tc>
          <w:tcPr>
            <w:tcW w:w="20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876434" w14:textId="629351C8" w:rsidR="00421FB3" w:rsidRPr="002A4776" w:rsidRDefault="00421FB3" w:rsidP="00421FB3">
            <w:pPr>
              <w:spacing w:line="276" w:lineRule="auto"/>
              <w:jc w:val="center"/>
              <w:rPr>
                <w:rFonts w:ascii="Times New Roman" w:hAnsi="Times New Roman"/>
                <w:i/>
                <w:iCs/>
                <w:sz w:val="22"/>
                <w:szCs w:val="22"/>
              </w:rPr>
            </w:pPr>
            <w:r w:rsidRPr="002A4776">
              <w:rPr>
                <w:rFonts w:ascii="Times New Roman" w:hAnsi="Times New Roman"/>
                <w:i/>
                <w:iCs/>
                <w:color w:val="000000"/>
                <w:sz w:val="22"/>
                <w:szCs w:val="22"/>
              </w:rPr>
              <w:t>dopad nízky</w:t>
            </w:r>
          </w:p>
        </w:tc>
        <w:tc>
          <w:tcPr>
            <w:tcW w:w="1598"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14:paraId="2C1C0984" w14:textId="063C7AE6"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color w:val="000000"/>
                <w:sz w:val="22"/>
                <w:szCs w:val="22"/>
              </w:rPr>
              <w:t>obmedzený dopad</w:t>
            </w:r>
          </w:p>
        </w:tc>
        <w:tc>
          <w:tcPr>
            <w:tcW w:w="1124" w:type="dxa"/>
            <w:tcBorders>
              <w:top w:val="nil"/>
              <w:left w:val="nil"/>
              <w:bottom w:val="single" w:sz="8" w:space="0" w:color="auto"/>
              <w:right w:val="single" w:sz="8" w:space="0" w:color="auto"/>
            </w:tcBorders>
            <w:shd w:val="clear" w:color="auto" w:fill="FFFF00"/>
            <w:vAlign w:val="center"/>
          </w:tcPr>
          <w:p w14:paraId="5D35056D" w14:textId="4DF01324"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b/>
                <w:bCs/>
                <w:sz w:val="22"/>
                <w:szCs w:val="22"/>
              </w:rPr>
              <w:t>2</w:t>
            </w:r>
          </w:p>
        </w:tc>
      </w:tr>
      <w:tr w:rsidR="009463E5" w:rsidRPr="002A4776" w14:paraId="7FDBB9BD" w14:textId="67F9B560" w:rsidTr="003237CF">
        <w:trPr>
          <w:trHeight w:val="227"/>
        </w:trPr>
        <w:tc>
          <w:tcPr>
            <w:tcW w:w="1051" w:type="dxa"/>
            <w:noWrap/>
            <w:tcMar>
              <w:top w:w="0" w:type="dxa"/>
              <w:left w:w="70" w:type="dxa"/>
              <w:bottom w:w="0" w:type="dxa"/>
              <w:right w:w="70" w:type="dxa"/>
            </w:tcMar>
            <w:vAlign w:val="center"/>
          </w:tcPr>
          <w:p w14:paraId="56916E14" w14:textId="77777777" w:rsidR="00421FB3" w:rsidRPr="002A4776" w:rsidRDefault="00421FB3" w:rsidP="00421FB3">
            <w:pPr>
              <w:spacing w:line="276" w:lineRule="auto"/>
              <w:jc w:val="center"/>
              <w:rPr>
                <w:rFonts w:ascii="Times New Roman" w:hAnsi="Times New Roman"/>
                <w:sz w:val="22"/>
                <w:szCs w:val="22"/>
              </w:rPr>
            </w:pPr>
          </w:p>
        </w:tc>
        <w:tc>
          <w:tcPr>
            <w:tcW w:w="269" w:type="dxa"/>
            <w:tcBorders>
              <w:top w:val="nil"/>
              <w:left w:val="nil"/>
              <w:bottom w:val="nil"/>
              <w:right w:val="single" w:sz="8" w:space="0" w:color="auto"/>
            </w:tcBorders>
            <w:noWrap/>
            <w:tcMar>
              <w:top w:w="0" w:type="dxa"/>
              <w:left w:w="70" w:type="dxa"/>
              <w:bottom w:w="0" w:type="dxa"/>
              <w:right w:w="70" w:type="dxa"/>
            </w:tcMar>
            <w:vAlign w:val="center"/>
          </w:tcPr>
          <w:p w14:paraId="2438C691" w14:textId="77777777" w:rsidR="00421FB3" w:rsidRPr="002A4776" w:rsidRDefault="00421FB3" w:rsidP="00421FB3">
            <w:pPr>
              <w:spacing w:line="276" w:lineRule="auto"/>
              <w:jc w:val="center"/>
              <w:rPr>
                <w:rFonts w:ascii="Times New Roman" w:hAnsi="Times New Roman"/>
                <w:sz w:val="22"/>
                <w:szCs w:val="22"/>
              </w:rPr>
            </w:pPr>
          </w:p>
        </w:tc>
        <w:tc>
          <w:tcPr>
            <w:tcW w:w="16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265F3A" w14:textId="2A845648" w:rsidR="00421FB3" w:rsidRPr="002A4776" w:rsidRDefault="00421FB3" w:rsidP="00421FB3">
            <w:pPr>
              <w:spacing w:line="276" w:lineRule="auto"/>
              <w:jc w:val="center"/>
              <w:rPr>
                <w:rFonts w:ascii="Times New Roman" w:hAnsi="Times New Roman"/>
                <w:sz w:val="22"/>
                <w:szCs w:val="22"/>
              </w:rPr>
            </w:pPr>
            <w:r w:rsidRPr="002A4776">
              <w:rPr>
                <w:rFonts w:ascii="Times New Roman" w:hAnsi="Times New Roman"/>
                <w:sz w:val="22"/>
                <w:szCs w:val="22"/>
              </w:rPr>
              <w:t>3</w:t>
            </w:r>
          </w:p>
        </w:tc>
        <w:tc>
          <w:tcPr>
            <w:tcW w:w="131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1FF08A" w14:textId="2F2D602B"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b/>
                <w:bCs/>
                <w:sz w:val="22"/>
                <w:szCs w:val="22"/>
              </w:rPr>
              <w:t>veľký</w:t>
            </w:r>
          </w:p>
        </w:tc>
        <w:tc>
          <w:tcPr>
            <w:tcW w:w="20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C5BA802" w14:textId="61E3B89D" w:rsidR="00421FB3" w:rsidRPr="002A4776" w:rsidRDefault="00421FB3" w:rsidP="00421FB3">
            <w:pPr>
              <w:spacing w:line="276" w:lineRule="auto"/>
              <w:jc w:val="center"/>
              <w:rPr>
                <w:rFonts w:ascii="Times New Roman" w:hAnsi="Times New Roman"/>
                <w:i/>
                <w:iCs/>
                <w:sz w:val="22"/>
                <w:szCs w:val="22"/>
              </w:rPr>
            </w:pPr>
            <w:r w:rsidRPr="002A4776">
              <w:rPr>
                <w:rFonts w:ascii="Times New Roman" w:hAnsi="Times New Roman"/>
                <w:i/>
                <w:iCs/>
                <w:color w:val="000000"/>
                <w:sz w:val="22"/>
                <w:szCs w:val="22"/>
              </w:rPr>
              <w:t>dopad veľmi významný</w:t>
            </w:r>
          </w:p>
        </w:tc>
        <w:tc>
          <w:tcPr>
            <w:tcW w:w="1598"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14:paraId="134958AE" w14:textId="50A33C81"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color w:val="000000"/>
                <w:sz w:val="22"/>
                <w:szCs w:val="22"/>
              </w:rPr>
              <w:t>veľký dopad</w:t>
            </w:r>
          </w:p>
        </w:tc>
        <w:tc>
          <w:tcPr>
            <w:tcW w:w="1124" w:type="dxa"/>
            <w:tcBorders>
              <w:top w:val="nil"/>
              <w:left w:val="nil"/>
              <w:bottom w:val="single" w:sz="8" w:space="0" w:color="auto"/>
              <w:right w:val="single" w:sz="8" w:space="0" w:color="auto"/>
            </w:tcBorders>
            <w:shd w:val="clear" w:color="auto" w:fill="FFFF00"/>
            <w:vAlign w:val="center"/>
          </w:tcPr>
          <w:p w14:paraId="71B00B93" w14:textId="0E1B2492"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b/>
                <w:bCs/>
                <w:sz w:val="22"/>
                <w:szCs w:val="22"/>
              </w:rPr>
              <w:t>3</w:t>
            </w:r>
          </w:p>
        </w:tc>
      </w:tr>
      <w:tr w:rsidR="009463E5" w:rsidRPr="002A4776" w14:paraId="54C48CEB" w14:textId="20D1FD8F" w:rsidTr="003237CF">
        <w:trPr>
          <w:trHeight w:val="60"/>
        </w:trPr>
        <w:tc>
          <w:tcPr>
            <w:tcW w:w="1051" w:type="dxa"/>
            <w:noWrap/>
            <w:tcMar>
              <w:top w:w="0" w:type="dxa"/>
              <w:left w:w="70" w:type="dxa"/>
              <w:bottom w:w="0" w:type="dxa"/>
              <w:right w:w="70" w:type="dxa"/>
            </w:tcMar>
            <w:vAlign w:val="center"/>
            <w:hideMark/>
          </w:tcPr>
          <w:p w14:paraId="2B718025" w14:textId="77777777" w:rsidR="00421FB3" w:rsidRPr="002A4776" w:rsidRDefault="00421FB3" w:rsidP="00421FB3">
            <w:pPr>
              <w:spacing w:line="276" w:lineRule="auto"/>
              <w:jc w:val="center"/>
              <w:rPr>
                <w:rFonts w:ascii="Times New Roman" w:hAnsi="Times New Roman"/>
                <w:b/>
                <w:bCs/>
                <w:sz w:val="22"/>
                <w:szCs w:val="22"/>
              </w:rPr>
            </w:pPr>
          </w:p>
        </w:tc>
        <w:tc>
          <w:tcPr>
            <w:tcW w:w="269" w:type="dxa"/>
            <w:tcBorders>
              <w:top w:val="nil"/>
              <w:left w:val="nil"/>
              <w:bottom w:val="nil"/>
              <w:right w:val="single" w:sz="8" w:space="0" w:color="auto"/>
            </w:tcBorders>
            <w:noWrap/>
            <w:tcMar>
              <w:top w:w="0" w:type="dxa"/>
              <w:left w:w="70" w:type="dxa"/>
              <w:bottom w:w="0" w:type="dxa"/>
              <w:right w:w="70" w:type="dxa"/>
            </w:tcMar>
            <w:vAlign w:val="center"/>
            <w:hideMark/>
          </w:tcPr>
          <w:p w14:paraId="3C4DE847" w14:textId="77777777" w:rsidR="00421FB3" w:rsidRPr="002A4776" w:rsidRDefault="00421FB3" w:rsidP="00421FB3">
            <w:pPr>
              <w:spacing w:line="276" w:lineRule="auto"/>
              <w:jc w:val="center"/>
              <w:rPr>
                <w:rFonts w:ascii="Times New Roman" w:hAnsi="Times New Roman"/>
                <w:sz w:val="22"/>
                <w:szCs w:val="22"/>
              </w:rPr>
            </w:pPr>
          </w:p>
        </w:tc>
        <w:tc>
          <w:tcPr>
            <w:tcW w:w="16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D4C7A8" w14:textId="77FA31D8" w:rsidR="00421FB3" w:rsidRPr="002A4776" w:rsidRDefault="00421FB3" w:rsidP="00421FB3">
            <w:pPr>
              <w:spacing w:line="276" w:lineRule="auto"/>
              <w:jc w:val="center"/>
              <w:rPr>
                <w:rFonts w:ascii="Times New Roman" w:hAnsi="Times New Roman"/>
                <w:sz w:val="22"/>
                <w:szCs w:val="22"/>
              </w:rPr>
            </w:pPr>
            <w:r w:rsidRPr="002A4776">
              <w:rPr>
                <w:rFonts w:ascii="Times New Roman" w:hAnsi="Times New Roman"/>
                <w:sz w:val="22"/>
                <w:szCs w:val="22"/>
              </w:rPr>
              <w:t>4</w:t>
            </w:r>
          </w:p>
        </w:tc>
        <w:tc>
          <w:tcPr>
            <w:tcW w:w="131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4FC4608" w14:textId="7C9E7712"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b/>
                <w:bCs/>
                <w:sz w:val="22"/>
                <w:szCs w:val="22"/>
              </w:rPr>
              <w:t>veľmi veľký</w:t>
            </w:r>
          </w:p>
        </w:tc>
        <w:tc>
          <w:tcPr>
            <w:tcW w:w="20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D177E1E" w14:textId="375D1F03" w:rsidR="00421FB3" w:rsidRPr="002A4776" w:rsidRDefault="00421FB3" w:rsidP="00421FB3">
            <w:pPr>
              <w:spacing w:line="276" w:lineRule="auto"/>
              <w:jc w:val="center"/>
              <w:rPr>
                <w:rFonts w:ascii="Times New Roman" w:hAnsi="Times New Roman"/>
                <w:i/>
                <w:iCs/>
                <w:sz w:val="22"/>
                <w:szCs w:val="22"/>
              </w:rPr>
            </w:pPr>
            <w:r w:rsidRPr="002A4776">
              <w:rPr>
                <w:rFonts w:ascii="Times New Roman" w:hAnsi="Times New Roman"/>
                <w:i/>
                <w:iCs/>
                <w:color w:val="000000"/>
                <w:sz w:val="22"/>
                <w:szCs w:val="22"/>
              </w:rPr>
              <w:t>dopad neprijateľný</w:t>
            </w:r>
          </w:p>
        </w:tc>
        <w:tc>
          <w:tcPr>
            <w:tcW w:w="1598"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center"/>
            <w:hideMark/>
          </w:tcPr>
          <w:p w14:paraId="494E1D3D" w14:textId="61209DBA"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color w:val="000000"/>
                <w:sz w:val="22"/>
                <w:szCs w:val="22"/>
              </w:rPr>
              <w:t>formálne vyšetrovanie zainteresovanými subjektmi</w:t>
            </w:r>
          </w:p>
        </w:tc>
        <w:tc>
          <w:tcPr>
            <w:tcW w:w="1124" w:type="dxa"/>
            <w:tcBorders>
              <w:top w:val="nil"/>
              <w:left w:val="nil"/>
              <w:bottom w:val="single" w:sz="8" w:space="0" w:color="auto"/>
              <w:right w:val="single" w:sz="8" w:space="0" w:color="auto"/>
            </w:tcBorders>
            <w:shd w:val="clear" w:color="auto" w:fill="FFFF00"/>
            <w:vAlign w:val="center"/>
          </w:tcPr>
          <w:p w14:paraId="32F91F42" w14:textId="420275EA" w:rsidR="00421FB3" w:rsidRPr="002A4776" w:rsidRDefault="00421FB3" w:rsidP="00421FB3">
            <w:pPr>
              <w:spacing w:line="276" w:lineRule="auto"/>
              <w:jc w:val="center"/>
              <w:rPr>
                <w:rFonts w:ascii="Times New Roman" w:hAnsi="Times New Roman"/>
                <w:b/>
                <w:bCs/>
                <w:sz w:val="22"/>
                <w:szCs w:val="22"/>
              </w:rPr>
            </w:pPr>
            <w:r w:rsidRPr="002A4776">
              <w:rPr>
                <w:rFonts w:ascii="Times New Roman" w:hAnsi="Times New Roman"/>
                <w:b/>
                <w:bCs/>
                <w:sz w:val="22"/>
                <w:szCs w:val="22"/>
              </w:rPr>
              <w:t>4</w:t>
            </w:r>
          </w:p>
        </w:tc>
      </w:tr>
    </w:tbl>
    <w:p w14:paraId="01EF4BD4" w14:textId="77777777" w:rsidR="009463E5" w:rsidRPr="002A4776" w:rsidRDefault="009463E5" w:rsidP="00C3571B">
      <w:pPr>
        <w:spacing w:line="276" w:lineRule="auto"/>
        <w:rPr>
          <w:rFonts w:ascii="Times New Roman" w:hAnsi="Times New Roman"/>
          <w:sz w:val="22"/>
          <w:szCs w:val="22"/>
          <w:lang w:eastAsia="cs-CZ"/>
        </w:rPr>
      </w:pPr>
    </w:p>
    <w:p w14:paraId="5359A026" w14:textId="77777777" w:rsidR="005826E3" w:rsidRPr="002A4776" w:rsidRDefault="005826E3" w:rsidP="00C3571B">
      <w:pPr>
        <w:spacing w:line="276" w:lineRule="auto"/>
        <w:rPr>
          <w:rFonts w:ascii="Times New Roman" w:hAnsi="Times New Roman"/>
          <w:sz w:val="22"/>
          <w:szCs w:val="22"/>
          <w:lang w:eastAsia="cs-CZ"/>
        </w:rPr>
      </w:pPr>
    </w:p>
    <w:p w14:paraId="2D3997A9" w14:textId="005FFCD4" w:rsidR="00383B50" w:rsidRPr="002A4776" w:rsidRDefault="00383B50" w:rsidP="00C3571B">
      <w:pPr>
        <w:spacing w:line="276" w:lineRule="auto"/>
        <w:rPr>
          <w:rFonts w:ascii="Times New Roman" w:hAnsi="Times New Roman"/>
          <w:sz w:val="22"/>
          <w:szCs w:val="22"/>
          <w:lang w:eastAsia="cs-CZ"/>
        </w:rPr>
      </w:pPr>
      <w:r w:rsidRPr="002A4776">
        <w:rPr>
          <w:rFonts w:ascii="Times New Roman" w:hAnsi="Times New Roman"/>
          <w:sz w:val="22"/>
          <w:szCs w:val="22"/>
          <w:lang w:eastAsia="cs-CZ"/>
        </w:rPr>
        <w:t>Tabuľka: Stupnica pre hodnotenie Pravdepodobnosti vzniku / Opakovateľnosti (P) rizika</w:t>
      </w:r>
    </w:p>
    <w:p w14:paraId="2D3997AA" w14:textId="77777777" w:rsidR="00383B50" w:rsidRPr="002A4776" w:rsidRDefault="00383B50" w:rsidP="00C3571B">
      <w:pPr>
        <w:spacing w:line="276" w:lineRule="auto"/>
        <w:rPr>
          <w:rFonts w:ascii="Times New Roman" w:hAnsi="Times New Roman"/>
          <w:sz w:val="22"/>
          <w:szCs w:val="22"/>
        </w:rPr>
      </w:pPr>
    </w:p>
    <w:tbl>
      <w:tblPr>
        <w:tblW w:w="7538" w:type="dxa"/>
        <w:jc w:val="center"/>
        <w:tblCellMar>
          <w:left w:w="0" w:type="dxa"/>
          <w:right w:w="0" w:type="dxa"/>
        </w:tblCellMar>
        <w:tblLook w:val="04A0" w:firstRow="1" w:lastRow="0" w:firstColumn="1" w:lastColumn="0" w:noHBand="0" w:noVBand="1"/>
      </w:tblPr>
      <w:tblGrid>
        <w:gridCol w:w="1986"/>
        <w:gridCol w:w="470"/>
        <w:gridCol w:w="1929"/>
        <w:gridCol w:w="1959"/>
        <w:gridCol w:w="1194"/>
      </w:tblGrid>
      <w:tr w:rsidR="00D218E5" w:rsidRPr="0012475C" w14:paraId="2D3997B1" w14:textId="77777777" w:rsidTr="00DC12F8">
        <w:trPr>
          <w:trHeight w:val="1215"/>
          <w:jc w:val="center"/>
        </w:trPr>
        <w:tc>
          <w:tcPr>
            <w:tcW w:w="1986"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14:paraId="2D3997AB" w14:textId="77777777" w:rsidR="00D218E5" w:rsidRPr="002A4776" w:rsidRDefault="00D218E5" w:rsidP="00FF3385">
            <w:pPr>
              <w:spacing w:line="276" w:lineRule="auto"/>
              <w:rPr>
                <w:rFonts w:ascii="Times New Roman" w:hAnsi="Times New Roman"/>
                <w:b/>
                <w:bCs/>
                <w:sz w:val="22"/>
                <w:szCs w:val="22"/>
              </w:rPr>
            </w:pPr>
            <w:r w:rsidRPr="002A4776">
              <w:rPr>
                <w:rFonts w:ascii="Times New Roman" w:hAnsi="Times New Roman"/>
                <w:b/>
                <w:bCs/>
                <w:sz w:val="22"/>
                <w:szCs w:val="22"/>
              </w:rPr>
              <w:lastRenderedPageBreak/>
              <w:t>Pravdepodobnosť výskytu rizika (P) – os y</w:t>
            </w:r>
          </w:p>
        </w:tc>
        <w:tc>
          <w:tcPr>
            <w:tcW w:w="470" w:type="dxa"/>
            <w:tcBorders>
              <w:right w:val="single" w:sz="4" w:space="0" w:color="auto"/>
            </w:tcBorders>
            <w:noWrap/>
            <w:tcMar>
              <w:top w:w="0" w:type="dxa"/>
              <w:left w:w="70" w:type="dxa"/>
              <w:bottom w:w="0" w:type="dxa"/>
              <w:right w:w="70" w:type="dxa"/>
            </w:tcMar>
            <w:vAlign w:val="center"/>
            <w:hideMark/>
          </w:tcPr>
          <w:p w14:paraId="2D3997AC" w14:textId="77777777" w:rsidR="00D218E5" w:rsidRPr="002A4776" w:rsidRDefault="00D218E5" w:rsidP="00FF3385">
            <w:pPr>
              <w:spacing w:line="276" w:lineRule="auto"/>
              <w:rPr>
                <w:rFonts w:ascii="Times New Roman" w:hAnsi="Times New Roman"/>
                <w:b/>
                <w:bCs/>
                <w:sz w:val="22"/>
                <w:szCs w:val="22"/>
              </w:rPr>
            </w:pPr>
          </w:p>
        </w:tc>
        <w:tc>
          <w:tcPr>
            <w:tcW w:w="1929" w:type="dxa"/>
            <w:tcBorders>
              <w:top w:val="single" w:sz="4" w:space="0" w:color="auto"/>
              <w:left w:val="single" w:sz="4" w:space="0" w:color="auto"/>
              <w:bottom w:val="single" w:sz="4" w:space="0" w:color="auto"/>
              <w:right w:val="single" w:sz="4" w:space="0" w:color="auto"/>
            </w:tcBorders>
            <w:shd w:val="clear" w:color="auto" w:fill="D9D9D9"/>
            <w:tcMar>
              <w:top w:w="0" w:type="dxa"/>
              <w:left w:w="70" w:type="dxa"/>
              <w:bottom w:w="0" w:type="dxa"/>
              <w:right w:w="70" w:type="dxa"/>
            </w:tcMar>
            <w:vAlign w:val="center"/>
            <w:hideMark/>
          </w:tcPr>
          <w:p w14:paraId="2D3997AE" w14:textId="1A8E9D96" w:rsidR="00D218E5" w:rsidRPr="002A4776" w:rsidRDefault="00D218E5" w:rsidP="00FF3385">
            <w:pPr>
              <w:spacing w:line="276" w:lineRule="auto"/>
              <w:rPr>
                <w:rFonts w:ascii="Times New Roman" w:hAnsi="Times New Roman"/>
                <w:b/>
                <w:bCs/>
                <w:sz w:val="22"/>
                <w:szCs w:val="22"/>
              </w:rPr>
            </w:pPr>
            <w:r w:rsidRPr="002A4776">
              <w:rPr>
                <w:rFonts w:ascii="Times New Roman" w:hAnsi="Times New Roman"/>
                <w:b/>
                <w:bCs/>
                <w:sz w:val="22"/>
                <w:szCs w:val="22"/>
              </w:rPr>
              <w:t>Stupeň pravdepodobn</w:t>
            </w:r>
            <w:r w:rsidR="009463E5" w:rsidRPr="002A4776">
              <w:rPr>
                <w:rFonts w:ascii="Times New Roman" w:hAnsi="Times New Roman"/>
                <w:b/>
                <w:bCs/>
                <w:sz w:val="22"/>
                <w:szCs w:val="22"/>
              </w:rPr>
              <w:t>o</w:t>
            </w:r>
            <w:r w:rsidRPr="002A4776">
              <w:rPr>
                <w:rFonts w:ascii="Times New Roman" w:hAnsi="Times New Roman"/>
                <w:b/>
                <w:bCs/>
                <w:sz w:val="22"/>
                <w:szCs w:val="22"/>
              </w:rPr>
              <w:t>sti</w:t>
            </w:r>
          </w:p>
        </w:tc>
        <w:tc>
          <w:tcPr>
            <w:tcW w:w="1959" w:type="dxa"/>
            <w:tcBorders>
              <w:top w:val="single" w:sz="8" w:space="0" w:color="auto"/>
              <w:left w:val="single" w:sz="4"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02F005BA" w14:textId="77777777" w:rsidR="00D218E5" w:rsidRPr="002A4776" w:rsidRDefault="00D218E5" w:rsidP="00FF3385">
            <w:pPr>
              <w:spacing w:line="276" w:lineRule="auto"/>
              <w:rPr>
                <w:rFonts w:ascii="Times New Roman" w:hAnsi="Times New Roman"/>
                <w:b/>
                <w:bCs/>
                <w:sz w:val="22"/>
                <w:szCs w:val="22"/>
              </w:rPr>
            </w:pPr>
            <w:r w:rsidRPr="002A4776">
              <w:rPr>
                <w:rFonts w:ascii="Times New Roman" w:hAnsi="Times New Roman"/>
                <w:b/>
                <w:bCs/>
                <w:sz w:val="22"/>
                <w:szCs w:val="22"/>
              </w:rPr>
              <w:t>Slovné vyjadrenie pravdepodobnosti </w:t>
            </w:r>
          </w:p>
          <w:p w14:paraId="2D3997AF" w14:textId="18F826AA" w:rsidR="00D218E5" w:rsidRPr="002A4776" w:rsidRDefault="00D218E5" w:rsidP="00FF3385">
            <w:pPr>
              <w:spacing w:line="276" w:lineRule="auto"/>
              <w:rPr>
                <w:rFonts w:ascii="Times New Roman" w:hAnsi="Times New Roman"/>
                <w:b/>
                <w:bCs/>
                <w:sz w:val="22"/>
                <w:szCs w:val="22"/>
              </w:rPr>
            </w:pPr>
            <w:r w:rsidRPr="002A4776">
              <w:rPr>
                <w:rFonts w:ascii="Times New Roman" w:hAnsi="Times New Roman"/>
                <w:b/>
                <w:bCs/>
                <w:sz w:val="22"/>
                <w:szCs w:val="22"/>
              </w:rPr>
              <w:t>výskytu rizika</w:t>
            </w:r>
          </w:p>
        </w:tc>
        <w:tc>
          <w:tcPr>
            <w:tcW w:w="1194" w:type="dxa"/>
            <w:tcBorders>
              <w:top w:val="single" w:sz="8" w:space="0" w:color="auto"/>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D3997B0" w14:textId="47A88FA2" w:rsidR="00D218E5" w:rsidRPr="002A4776" w:rsidRDefault="00D218E5" w:rsidP="00FF3385">
            <w:pPr>
              <w:spacing w:line="276" w:lineRule="auto"/>
              <w:rPr>
                <w:rFonts w:ascii="Times New Roman" w:hAnsi="Times New Roman"/>
                <w:b/>
                <w:bCs/>
                <w:sz w:val="22"/>
                <w:szCs w:val="22"/>
              </w:rPr>
            </w:pPr>
            <w:r w:rsidRPr="002A4776">
              <w:rPr>
                <w:rFonts w:ascii="Times New Roman" w:hAnsi="Times New Roman"/>
                <w:b/>
                <w:bCs/>
                <w:sz w:val="22"/>
                <w:szCs w:val="22"/>
              </w:rPr>
              <w:t>Odvodený počet bodov</w:t>
            </w:r>
          </w:p>
        </w:tc>
      </w:tr>
      <w:tr w:rsidR="00D218E5" w:rsidRPr="0012475C" w14:paraId="2D3997B8" w14:textId="77777777" w:rsidTr="00DC12F8">
        <w:trPr>
          <w:trHeight w:val="227"/>
          <w:jc w:val="center"/>
        </w:trPr>
        <w:tc>
          <w:tcPr>
            <w:tcW w:w="1986" w:type="dxa"/>
            <w:noWrap/>
            <w:tcMar>
              <w:top w:w="0" w:type="dxa"/>
              <w:left w:w="70" w:type="dxa"/>
              <w:bottom w:w="0" w:type="dxa"/>
              <w:right w:w="70" w:type="dxa"/>
            </w:tcMar>
            <w:vAlign w:val="bottom"/>
            <w:hideMark/>
          </w:tcPr>
          <w:p w14:paraId="2D3997B2" w14:textId="77777777" w:rsidR="00D218E5" w:rsidRPr="002A4776" w:rsidRDefault="00D218E5" w:rsidP="00FF3385">
            <w:pPr>
              <w:spacing w:line="276" w:lineRule="auto"/>
              <w:rPr>
                <w:rFonts w:ascii="Times New Roman" w:hAnsi="Times New Roman"/>
                <w:b/>
                <w:bCs/>
                <w:sz w:val="22"/>
                <w:szCs w:val="22"/>
              </w:rPr>
            </w:pPr>
          </w:p>
        </w:tc>
        <w:tc>
          <w:tcPr>
            <w:tcW w:w="470" w:type="dxa"/>
            <w:tcBorders>
              <w:top w:val="nil"/>
              <w:left w:val="nil"/>
              <w:bottom w:val="nil"/>
              <w:right w:val="single" w:sz="8" w:space="0" w:color="auto"/>
            </w:tcBorders>
            <w:noWrap/>
            <w:tcMar>
              <w:top w:w="0" w:type="dxa"/>
              <w:left w:w="70" w:type="dxa"/>
              <w:bottom w:w="0" w:type="dxa"/>
              <w:right w:w="70" w:type="dxa"/>
            </w:tcMar>
            <w:vAlign w:val="bottom"/>
            <w:hideMark/>
          </w:tcPr>
          <w:p w14:paraId="2D3997B3" w14:textId="77777777" w:rsidR="00D218E5" w:rsidRPr="002A4776" w:rsidRDefault="00D218E5" w:rsidP="00FF3385">
            <w:pPr>
              <w:spacing w:line="276" w:lineRule="auto"/>
              <w:rPr>
                <w:rFonts w:ascii="Times New Roman" w:hAnsi="Times New Roman"/>
                <w:sz w:val="22"/>
                <w:szCs w:val="22"/>
              </w:rPr>
            </w:pPr>
          </w:p>
        </w:tc>
        <w:tc>
          <w:tcPr>
            <w:tcW w:w="1929"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D3997B5" w14:textId="77777777" w:rsidR="00D218E5" w:rsidRPr="002A4776" w:rsidRDefault="00D218E5" w:rsidP="00FF3385">
            <w:pPr>
              <w:spacing w:line="276" w:lineRule="auto"/>
              <w:rPr>
                <w:rFonts w:ascii="Times New Roman" w:hAnsi="Times New Roman"/>
                <w:b/>
                <w:bCs/>
                <w:sz w:val="22"/>
                <w:szCs w:val="22"/>
              </w:rPr>
            </w:pPr>
            <w:r w:rsidRPr="002A4776">
              <w:rPr>
                <w:rFonts w:ascii="Times New Roman" w:hAnsi="Times New Roman"/>
                <w:b/>
                <w:bCs/>
                <w:sz w:val="22"/>
                <w:szCs w:val="22"/>
              </w:rPr>
              <w:t>veľmi malá</w:t>
            </w:r>
          </w:p>
        </w:tc>
        <w:tc>
          <w:tcPr>
            <w:tcW w:w="19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3997B6" w14:textId="77777777" w:rsidR="00D218E5" w:rsidRPr="002A4776" w:rsidRDefault="00D218E5" w:rsidP="00FF3385">
            <w:pPr>
              <w:spacing w:line="276" w:lineRule="auto"/>
              <w:rPr>
                <w:rFonts w:ascii="Times New Roman" w:hAnsi="Times New Roman"/>
                <w:i/>
                <w:iCs/>
                <w:sz w:val="22"/>
                <w:szCs w:val="22"/>
              </w:rPr>
            </w:pPr>
            <w:r w:rsidRPr="002A4776">
              <w:rPr>
                <w:rFonts w:ascii="Times New Roman" w:hAnsi="Times New Roman"/>
                <w:i/>
                <w:iCs/>
                <w:sz w:val="22"/>
                <w:szCs w:val="22"/>
              </w:rPr>
              <w:t>takmer nikdy</w:t>
            </w:r>
          </w:p>
        </w:tc>
        <w:tc>
          <w:tcPr>
            <w:tcW w:w="1194"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2D3997B7" w14:textId="77777777" w:rsidR="00D218E5" w:rsidRPr="002A4776" w:rsidRDefault="00D218E5" w:rsidP="00417BDD">
            <w:pPr>
              <w:spacing w:line="276" w:lineRule="auto"/>
              <w:jc w:val="center"/>
              <w:rPr>
                <w:rFonts w:ascii="Times New Roman" w:hAnsi="Times New Roman"/>
                <w:b/>
                <w:bCs/>
                <w:sz w:val="22"/>
                <w:szCs w:val="22"/>
              </w:rPr>
            </w:pPr>
            <w:r w:rsidRPr="002A4776">
              <w:rPr>
                <w:rFonts w:ascii="Times New Roman" w:hAnsi="Times New Roman"/>
                <w:b/>
                <w:bCs/>
                <w:sz w:val="22"/>
                <w:szCs w:val="22"/>
              </w:rPr>
              <w:t>1</w:t>
            </w:r>
          </w:p>
        </w:tc>
      </w:tr>
      <w:tr w:rsidR="00D218E5" w:rsidRPr="0012475C" w14:paraId="2D3997BF" w14:textId="77777777" w:rsidTr="009463E5">
        <w:trPr>
          <w:trHeight w:val="227"/>
          <w:jc w:val="center"/>
        </w:trPr>
        <w:tc>
          <w:tcPr>
            <w:tcW w:w="1986" w:type="dxa"/>
            <w:noWrap/>
            <w:tcMar>
              <w:top w:w="0" w:type="dxa"/>
              <w:left w:w="70" w:type="dxa"/>
              <w:bottom w:w="0" w:type="dxa"/>
              <w:right w:w="70" w:type="dxa"/>
            </w:tcMar>
            <w:vAlign w:val="bottom"/>
            <w:hideMark/>
          </w:tcPr>
          <w:p w14:paraId="2D3997B9" w14:textId="77777777" w:rsidR="00D218E5" w:rsidRPr="002A4776" w:rsidRDefault="00D218E5" w:rsidP="00FF3385">
            <w:pPr>
              <w:spacing w:line="276" w:lineRule="auto"/>
              <w:rPr>
                <w:rFonts w:ascii="Times New Roman" w:hAnsi="Times New Roman"/>
                <w:b/>
                <w:bCs/>
                <w:sz w:val="22"/>
                <w:szCs w:val="22"/>
              </w:rPr>
            </w:pPr>
          </w:p>
        </w:tc>
        <w:tc>
          <w:tcPr>
            <w:tcW w:w="470" w:type="dxa"/>
            <w:tcBorders>
              <w:top w:val="nil"/>
              <w:left w:val="nil"/>
              <w:bottom w:val="nil"/>
              <w:right w:val="single" w:sz="8" w:space="0" w:color="auto"/>
            </w:tcBorders>
            <w:noWrap/>
            <w:tcMar>
              <w:top w:w="0" w:type="dxa"/>
              <w:left w:w="70" w:type="dxa"/>
              <w:bottom w:w="0" w:type="dxa"/>
              <w:right w:w="70" w:type="dxa"/>
            </w:tcMar>
            <w:vAlign w:val="bottom"/>
            <w:hideMark/>
          </w:tcPr>
          <w:p w14:paraId="2D3997BA" w14:textId="77777777" w:rsidR="00D218E5" w:rsidRPr="002A4776" w:rsidRDefault="00D218E5" w:rsidP="00FF3385">
            <w:pPr>
              <w:spacing w:line="276" w:lineRule="auto"/>
              <w:rPr>
                <w:rFonts w:ascii="Times New Roman" w:hAnsi="Times New Roman"/>
                <w:sz w:val="22"/>
                <w:szCs w:val="22"/>
              </w:rPr>
            </w:pPr>
          </w:p>
        </w:tc>
        <w:tc>
          <w:tcPr>
            <w:tcW w:w="19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3997BC" w14:textId="77777777" w:rsidR="00D218E5" w:rsidRPr="002A4776" w:rsidRDefault="00D218E5" w:rsidP="00FF3385">
            <w:pPr>
              <w:spacing w:line="276" w:lineRule="auto"/>
              <w:rPr>
                <w:rFonts w:ascii="Times New Roman" w:hAnsi="Times New Roman"/>
                <w:b/>
                <w:bCs/>
                <w:sz w:val="22"/>
                <w:szCs w:val="22"/>
              </w:rPr>
            </w:pPr>
            <w:r w:rsidRPr="002A4776">
              <w:rPr>
                <w:rFonts w:ascii="Times New Roman" w:hAnsi="Times New Roman"/>
                <w:b/>
                <w:bCs/>
                <w:sz w:val="22"/>
                <w:szCs w:val="22"/>
              </w:rPr>
              <w:t>malá</w:t>
            </w:r>
          </w:p>
        </w:tc>
        <w:tc>
          <w:tcPr>
            <w:tcW w:w="19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3997BD" w14:textId="77777777" w:rsidR="00D218E5" w:rsidRPr="002A4776" w:rsidRDefault="00D218E5" w:rsidP="00FF3385">
            <w:pPr>
              <w:spacing w:line="276" w:lineRule="auto"/>
              <w:rPr>
                <w:rFonts w:ascii="Times New Roman" w:hAnsi="Times New Roman"/>
                <w:i/>
                <w:iCs/>
                <w:sz w:val="22"/>
                <w:szCs w:val="22"/>
              </w:rPr>
            </w:pPr>
            <w:r w:rsidRPr="002A4776">
              <w:rPr>
                <w:rFonts w:ascii="Times New Roman" w:hAnsi="Times New Roman"/>
                <w:i/>
                <w:iCs/>
                <w:sz w:val="22"/>
                <w:szCs w:val="22"/>
              </w:rPr>
              <w:t>zriedkavo</w:t>
            </w:r>
          </w:p>
        </w:tc>
        <w:tc>
          <w:tcPr>
            <w:tcW w:w="1194"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2D3997BE" w14:textId="77777777" w:rsidR="00D218E5" w:rsidRPr="002A4776" w:rsidRDefault="00D218E5" w:rsidP="00417BDD">
            <w:pPr>
              <w:spacing w:line="276" w:lineRule="auto"/>
              <w:jc w:val="center"/>
              <w:rPr>
                <w:rFonts w:ascii="Times New Roman" w:hAnsi="Times New Roman"/>
                <w:b/>
                <w:bCs/>
                <w:sz w:val="22"/>
                <w:szCs w:val="22"/>
              </w:rPr>
            </w:pPr>
            <w:r w:rsidRPr="002A4776">
              <w:rPr>
                <w:rFonts w:ascii="Times New Roman" w:hAnsi="Times New Roman"/>
                <w:b/>
                <w:bCs/>
                <w:sz w:val="22"/>
                <w:szCs w:val="22"/>
              </w:rPr>
              <w:t>2</w:t>
            </w:r>
          </w:p>
        </w:tc>
      </w:tr>
      <w:tr w:rsidR="00D218E5" w:rsidRPr="0012475C" w14:paraId="2D3997C6" w14:textId="77777777" w:rsidTr="009463E5">
        <w:trPr>
          <w:trHeight w:val="227"/>
          <w:jc w:val="center"/>
        </w:trPr>
        <w:tc>
          <w:tcPr>
            <w:tcW w:w="1986" w:type="dxa"/>
            <w:noWrap/>
            <w:tcMar>
              <w:top w:w="0" w:type="dxa"/>
              <w:left w:w="70" w:type="dxa"/>
              <w:bottom w:w="0" w:type="dxa"/>
              <w:right w:w="70" w:type="dxa"/>
            </w:tcMar>
            <w:vAlign w:val="bottom"/>
          </w:tcPr>
          <w:p w14:paraId="2D3997C0" w14:textId="77777777" w:rsidR="00D218E5" w:rsidRPr="002A4776" w:rsidRDefault="00D218E5" w:rsidP="00FF3385">
            <w:pPr>
              <w:spacing w:line="276" w:lineRule="auto"/>
              <w:rPr>
                <w:rFonts w:ascii="Times New Roman" w:hAnsi="Times New Roman"/>
                <w:sz w:val="22"/>
                <w:szCs w:val="22"/>
              </w:rPr>
            </w:pPr>
          </w:p>
        </w:tc>
        <w:tc>
          <w:tcPr>
            <w:tcW w:w="470" w:type="dxa"/>
            <w:tcBorders>
              <w:top w:val="nil"/>
              <w:left w:val="nil"/>
              <w:bottom w:val="nil"/>
              <w:right w:val="single" w:sz="8" w:space="0" w:color="auto"/>
            </w:tcBorders>
            <w:noWrap/>
            <w:tcMar>
              <w:top w:w="0" w:type="dxa"/>
              <w:left w:w="70" w:type="dxa"/>
              <w:bottom w:w="0" w:type="dxa"/>
              <w:right w:w="70" w:type="dxa"/>
            </w:tcMar>
            <w:vAlign w:val="bottom"/>
          </w:tcPr>
          <w:p w14:paraId="2D3997C1" w14:textId="77777777" w:rsidR="00D218E5" w:rsidRPr="002A4776" w:rsidRDefault="00D218E5" w:rsidP="00FF3385">
            <w:pPr>
              <w:spacing w:line="276" w:lineRule="auto"/>
              <w:rPr>
                <w:rFonts w:ascii="Times New Roman" w:hAnsi="Times New Roman"/>
                <w:sz w:val="22"/>
                <w:szCs w:val="22"/>
              </w:rPr>
            </w:pPr>
          </w:p>
        </w:tc>
        <w:tc>
          <w:tcPr>
            <w:tcW w:w="19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3997C3" w14:textId="77777777" w:rsidR="00D218E5" w:rsidRPr="002A4776" w:rsidRDefault="00D218E5" w:rsidP="00FF3385">
            <w:pPr>
              <w:spacing w:line="276" w:lineRule="auto"/>
              <w:rPr>
                <w:rFonts w:ascii="Times New Roman" w:hAnsi="Times New Roman"/>
                <w:b/>
                <w:bCs/>
                <w:sz w:val="22"/>
                <w:szCs w:val="22"/>
              </w:rPr>
            </w:pPr>
            <w:r w:rsidRPr="002A4776">
              <w:rPr>
                <w:rFonts w:ascii="Times New Roman" w:hAnsi="Times New Roman"/>
                <w:b/>
                <w:bCs/>
                <w:sz w:val="22"/>
                <w:szCs w:val="22"/>
              </w:rPr>
              <w:t>vysoká</w:t>
            </w:r>
          </w:p>
        </w:tc>
        <w:tc>
          <w:tcPr>
            <w:tcW w:w="19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3997C4" w14:textId="77777777" w:rsidR="00D218E5" w:rsidRPr="002A4776" w:rsidRDefault="00D218E5" w:rsidP="00FF3385">
            <w:pPr>
              <w:spacing w:line="276" w:lineRule="auto"/>
              <w:rPr>
                <w:rFonts w:ascii="Times New Roman" w:hAnsi="Times New Roman"/>
                <w:i/>
                <w:iCs/>
                <w:sz w:val="22"/>
                <w:szCs w:val="22"/>
              </w:rPr>
            </w:pPr>
            <w:r w:rsidRPr="002A4776">
              <w:rPr>
                <w:rFonts w:ascii="Times New Roman" w:hAnsi="Times New Roman"/>
                <w:i/>
                <w:iCs/>
                <w:sz w:val="22"/>
                <w:szCs w:val="22"/>
              </w:rPr>
              <w:t>niekedy</w:t>
            </w:r>
          </w:p>
        </w:tc>
        <w:tc>
          <w:tcPr>
            <w:tcW w:w="1194"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2D3997C5" w14:textId="77777777" w:rsidR="00D218E5" w:rsidRPr="002A4776" w:rsidRDefault="00D218E5" w:rsidP="00417BDD">
            <w:pPr>
              <w:spacing w:line="276" w:lineRule="auto"/>
              <w:jc w:val="center"/>
              <w:rPr>
                <w:rFonts w:ascii="Times New Roman" w:hAnsi="Times New Roman"/>
                <w:b/>
                <w:bCs/>
                <w:sz w:val="22"/>
                <w:szCs w:val="22"/>
              </w:rPr>
            </w:pPr>
            <w:r w:rsidRPr="002A4776">
              <w:rPr>
                <w:rFonts w:ascii="Times New Roman" w:hAnsi="Times New Roman"/>
                <w:b/>
                <w:bCs/>
                <w:sz w:val="22"/>
                <w:szCs w:val="22"/>
              </w:rPr>
              <w:t>3</w:t>
            </w:r>
          </w:p>
        </w:tc>
      </w:tr>
      <w:tr w:rsidR="00D218E5" w:rsidRPr="0012475C" w14:paraId="2D3997CD" w14:textId="77777777" w:rsidTr="009463E5">
        <w:trPr>
          <w:trHeight w:val="227"/>
          <w:jc w:val="center"/>
        </w:trPr>
        <w:tc>
          <w:tcPr>
            <w:tcW w:w="1986" w:type="dxa"/>
            <w:noWrap/>
            <w:tcMar>
              <w:top w:w="0" w:type="dxa"/>
              <w:left w:w="70" w:type="dxa"/>
              <w:bottom w:w="0" w:type="dxa"/>
              <w:right w:w="70" w:type="dxa"/>
            </w:tcMar>
            <w:vAlign w:val="bottom"/>
            <w:hideMark/>
          </w:tcPr>
          <w:p w14:paraId="2D3997C7" w14:textId="77777777" w:rsidR="00D218E5" w:rsidRPr="002A4776" w:rsidRDefault="00D218E5" w:rsidP="00FF3385">
            <w:pPr>
              <w:spacing w:line="276" w:lineRule="auto"/>
              <w:rPr>
                <w:rFonts w:ascii="Times New Roman" w:hAnsi="Times New Roman"/>
                <w:b/>
                <w:bCs/>
                <w:sz w:val="22"/>
                <w:szCs w:val="22"/>
              </w:rPr>
            </w:pPr>
          </w:p>
        </w:tc>
        <w:tc>
          <w:tcPr>
            <w:tcW w:w="470" w:type="dxa"/>
            <w:tcBorders>
              <w:top w:val="nil"/>
              <w:left w:val="nil"/>
              <w:bottom w:val="nil"/>
              <w:right w:val="single" w:sz="8" w:space="0" w:color="auto"/>
            </w:tcBorders>
            <w:noWrap/>
            <w:tcMar>
              <w:top w:w="0" w:type="dxa"/>
              <w:left w:w="70" w:type="dxa"/>
              <w:bottom w:w="0" w:type="dxa"/>
              <w:right w:w="70" w:type="dxa"/>
            </w:tcMar>
            <w:vAlign w:val="bottom"/>
            <w:hideMark/>
          </w:tcPr>
          <w:p w14:paraId="2D3997C8" w14:textId="77777777" w:rsidR="00D218E5" w:rsidRPr="002A4776" w:rsidRDefault="00D218E5" w:rsidP="00FF3385">
            <w:pPr>
              <w:spacing w:line="276" w:lineRule="auto"/>
              <w:rPr>
                <w:rFonts w:ascii="Times New Roman" w:hAnsi="Times New Roman"/>
                <w:sz w:val="22"/>
                <w:szCs w:val="22"/>
              </w:rPr>
            </w:pPr>
          </w:p>
        </w:tc>
        <w:tc>
          <w:tcPr>
            <w:tcW w:w="19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3997CA" w14:textId="77777777" w:rsidR="00D218E5" w:rsidRPr="002A4776" w:rsidRDefault="00D218E5" w:rsidP="00FF3385">
            <w:pPr>
              <w:spacing w:line="276" w:lineRule="auto"/>
              <w:rPr>
                <w:rFonts w:ascii="Times New Roman" w:hAnsi="Times New Roman"/>
                <w:b/>
                <w:bCs/>
                <w:sz w:val="22"/>
                <w:szCs w:val="22"/>
              </w:rPr>
            </w:pPr>
            <w:r w:rsidRPr="002A4776">
              <w:rPr>
                <w:rFonts w:ascii="Times New Roman" w:hAnsi="Times New Roman"/>
                <w:b/>
                <w:bCs/>
                <w:sz w:val="22"/>
                <w:szCs w:val="22"/>
              </w:rPr>
              <w:t>veľmi vysoká</w:t>
            </w:r>
          </w:p>
        </w:tc>
        <w:tc>
          <w:tcPr>
            <w:tcW w:w="19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3997CB" w14:textId="77777777" w:rsidR="00D218E5" w:rsidRPr="002A4776" w:rsidRDefault="00D218E5" w:rsidP="00FF3385">
            <w:pPr>
              <w:spacing w:line="276" w:lineRule="auto"/>
              <w:rPr>
                <w:rFonts w:ascii="Times New Roman" w:hAnsi="Times New Roman"/>
                <w:i/>
                <w:iCs/>
                <w:sz w:val="22"/>
                <w:szCs w:val="22"/>
              </w:rPr>
            </w:pPr>
            <w:r w:rsidRPr="002A4776">
              <w:rPr>
                <w:rFonts w:ascii="Times New Roman" w:hAnsi="Times New Roman"/>
                <w:i/>
                <w:iCs/>
                <w:sz w:val="22"/>
                <w:szCs w:val="22"/>
              </w:rPr>
              <w:t>často</w:t>
            </w:r>
          </w:p>
        </w:tc>
        <w:tc>
          <w:tcPr>
            <w:tcW w:w="1194" w:type="dxa"/>
            <w:tcBorders>
              <w:top w:val="nil"/>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2D3997CC" w14:textId="77777777" w:rsidR="00D218E5" w:rsidRPr="002A4776" w:rsidRDefault="00D218E5" w:rsidP="00417BDD">
            <w:pPr>
              <w:spacing w:line="276" w:lineRule="auto"/>
              <w:jc w:val="center"/>
              <w:rPr>
                <w:rFonts w:ascii="Times New Roman" w:hAnsi="Times New Roman"/>
                <w:b/>
                <w:bCs/>
                <w:sz w:val="22"/>
                <w:szCs w:val="22"/>
              </w:rPr>
            </w:pPr>
            <w:r w:rsidRPr="002A4776">
              <w:rPr>
                <w:rFonts w:ascii="Times New Roman" w:hAnsi="Times New Roman"/>
                <w:b/>
                <w:bCs/>
                <w:sz w:val="22"/>
                <w:szCs w:val="22"/>
              </w:rPr>
              <w:t>4</w:t>
            </w:r>
          </w:p>
        </w:tc>
      </w:tr>
    </w:tbl>
    <w:p w14:paraId="2D3997CE" w14:textId="77777777" w:rsidR="00383B50" w:rsidRPr="00450DEB" w:rsidRDefault="00383B50" w:rsidP="00FF3385">
      <w:pPr>
        <w:spacing w:line="276" w:lineRule="auto"/>
        <w:rPr>
          <w:rFonts w:ascii="Times New Roman" w:hAnsi="Times New Roman"/>
          <w:sz w:val="22"/>
          <w:szCs w:val="22"/>
          <w:highlight w:val="yellow"/>
          <w:lang w:eastAsia="cs-CZ"/>
        </w:rPr>
      </w:pPr>
    </w:p>
    <w:p w14:paraId="2D3997CF" w14:textId="77777777" w:rsidR="00383B50" w:rsidRPr="006D508D" w:rsidRDefault="00383B50" w:rsidP="00C3571B">
      <w:pPr>
        <w:spacing w:line="276" w:lineRule="auto"/>
        <w:rPr>
          <w:rFonts w:ascii="Times New Roman" w:hAnsi="Times New Roman"/>
          <w:sz w:val="22"/>
          <w:szCs w:val="22"/>
        </w:rPr>
      </w:pPr>
    </w:p>
    <w:p w14:paraId="2D3997D0" w14:textId="77777777" w:rsidR="00383B50" w:rsidRPr="006D508D" w:rsidRDefault="00383B50" w:rsidP="00C3571B">
      <w:pPr>
        <w:pStyle w:val="Nadpis4"/>
        <w:spacing w:before="0" w:after="0" w:line="276" w:lineRule="auto"/>
        <w:ind w:left="0" w:firstLine="0"/>
        <w:rPr>
          <w:rFonts w:ascii="Times New Roman" w:hAnsi="Times New Roman"/>
          <w:b/>
          <w:bCs/>
          <w:sz w:val="22"/>
          <w:szCs w:val="22"/>
        </w:rPr>
      </w:pPr>
      <w:r w:rsidRPr="006D508D">
        <w:rPr>
          <w:rFonts w:ascii="Times New Roman" w:hAnsi="Times New Roman"/>
          <w:b/>
          <w:bCs/>
          <w:sz w:val="22"/>
          <w:szCs w:val="22"/>
        </w:rPr>
        <w:t>Celková miera rizika</w:t>
      </w:r>
    </w:p>
    <w:p w14:paraId="2D3997D1" w14:textId="77777777" w:rsidR="00383B50" w:rsidRPr="006D508D" w:rsidRDefault="00383B50" w:rsidP="00C3571B">
      <w:pPr>
        <w:spacing w:line="276" w:lineRule="auto"/>
        <w:jc w:val="both"/>
        <w:rPr>
          <w:rFonts w:ascii="Times New Roman" w:hAnsi="Times New Roman"/>
          <w:sz w:val="22"/>
          <w:szCs w:val="22"/>
        </w:rPr>
      </w:pPr>
      <w:r w:rsidRPr="006D508D">
        <w:rPr>
          <w:rFonts w:ascii="Times New Roman" w:hAnsi="Times New Roman"/>
          <w:sz w:val="22"/>
          <w:szCs w:val="22"/>
        </w:rPr>
        <w:t xml:space="preserve">Celková miera rizika je istá miera ohrozenia, t.j. ide o merateľnú veličinu, vyjadrená ako matematická operácia súčinu (ide o tzv. karteziánsky súčin, usporiadanú dvojicu prvkov). </w:t>
      </w:r>
    </w:p>
    <w:p w14:paraId="2D3997D2" w14:textId="77777777" w:rsidR="00383B50" w:rsidRPr="006D508D" w:rsidRDefault="00383B50" w:rsidP="00C3571B">
      <w:pPr>
        <w:spacing w:before="120" w:after="120" w:line="276" w:lineRule="auto"/>
        <w:jc w:val="center"/>
        <w:rPr>
          <w:rFonts w:ascii="Times New Roman" w:hAnsi="Times New Roman"/>
          <w:b/>
          <w:sz w:val="22"/>
          <w:szCs w:val="22"/>
        </w:rPr>
      </w:pPr>
      <w:r w:rsidRPr="006D508D">
        <w:rPr>
          <w:rFonts w:ascii="Times New Roman" w:hAnsi="Times New Roman"/>
          <w:b/>
          <w:sz w:val="22"/>
          <w:szCs w:val="22"/>
        </w:rPr>
        <w:t>CMR = D x P</w:t>
      </w:r>
    </w:p>
    <w:tbl>
      <w:tblPr>
        <w:tblW w:w="9072" w:type="dxa"/>
        <w:tblLook w:val="04A0" w:firstRow="1" w:lastRow="0" w:firstColumn="1" w:lastColumn="0" w:noHBand="0" w:noVBand="1"/>
      </w:tblPr>
      <w:tblGrid>
        <w:gridCol w:w="959"/>
        <w:gridCol w:w="8113"/>
      </w:tblGrid>
      <w:tr w:rsidR="00383B50" w:rsidRPr="006D508D" w14:paraId="2D3997D4" w14:textId="77777777" w:rsidTr="008A7BA8">
        <w:tc>
          <w:tcPr>
            <w:tcW w:w="9072" w:type="dxa"/>
            <w:gridSpan w:val="2"/>
            <w:hideMark/>
          </w:tcPr>
          <w:p w14:paraId="2D3997D3" w14:textId="77777777" w:rsidR="00383B50" w:rsidRPr="006D508D" w:rsidRDefault="00383B50" w:rsidP="00C3571B">
            <w:pPr>
              <w:spacing w:line="276" w:lineRule="auto"/>
              <w:jc w:val="both"/>
              <w:rPr>
                <w:rFonts w:ascii="Times New Roman" w:eastAsia="Calibri" w:hAnsi="Times New Roman"/>
                <w:sz w:val="22"/>
                <w:szCs w:val="22"/>
              </w:rPr>
            </w:pPr>
            <w:r w:rsidRPr="006D508D">
              <w:rPr>
                <w:rFonts w:ascii="Times New Roman" w:eastAsia="Calibri" w:hAnsi="Times New Roman"/>
                <w:sz w:val="22"/>
                <w:szCs w:val="22"/>
              </w:rPr>
              <w:t>Legenda:</w:t>
            </w:r>
          </w:p>
        </w:tc>
      </w:tr>
      <w:tr w:rsidR="00383B50" w:rsidRPr="0012475C" w14:paraId="2D3997D7" w14:textId="77777777" w:rsidTr="008A7BA8">
        <w:tc>
          <w:tcPr>
            <w:tcW w:w="959" w:type="dxa"/>
            <w:hideMark/>
          </w:tcPr>
          <w:p w14:paraId="2D3997D5" w14:textId="77777777" w:rsidR="00383B50" w:rsidRPr="006D508D" w:rsidRDefault="00383B50" w:rsidP="00C3571B">
            <w:pPr>
              <w:spacing w:line="276" w:lineRule="auto"/>
              <w:jc w:val="both"/>
              <w:rPr>
                <w:rFonts w:ascii="Times New Roman" w:eastAsia="Calibri" w:hAnsi="Times New Roman"/>
                <w:sz w:val="22"/>
                <w:szCs w:val="22"/>
              </w:rPr>
            </w:pPr>
            <w:r w:rsidRPr="006D508D">
              <w:rPr>
                <w:rFonts w:ascii="Times New Roman" w:eastAsia="Calibri" w:hAnsi="Times New Roman"/>
                <w:sz w:val="22"/>
                <w:szCs w:val="22"/>
              </w:rPr>
              <w:t>CMR =</w:t>
            </w:r>
          </w:p>
        </w:tc>
        <w:tc>
          <w:tcPr>
            <w:tcW w:w="8113" w:type="dxa"/>
            <w:hideMark/>
          </w:tcPr>
          <w:p w14:paraId="2D3997D6" w14:textId="77777777" w:rsidR="00383B50" w:rsidRPr="006D508D" w:rsidRDefault="00383B50" w:rsidP="00C3571B">
            <w:pPr>
              <w:spacing w:line="276" w:lineRule="auto"/>
              <w:ind w:firstLine="33"/>
              <w:jc w:val="both"/>
              <w:rPr>
                <w:rFonts w:ascii="Times New Roman" w:eastAsia="Calibri" w:hAnsi="Times New Roman"/>
                <w:sz w:val="22"/>
                <w:szCs w:val="22"/>
              </w:rPr>
            </w:pPr>
            <w:r w:rsidRPr="006D508D">
              <w:rPr>
                <w:rFonts w:ascii="Times New Roman" w:eastAsia="Calibri" w:hAnsi="Times New Roman"/>
                <w:sz w:val="22"/>
                <w:szCs w:val="22"/>
              </w:rPr>
              <w:t xml:space="preserve">Celková miera rizika; </w:t>
            </w:r>
          </w:p>
        </w:tc>
      </w:tr>
      <w:tr w:rsidR="00383B50" w:rsidRPr="0012475C" w14:paraId="2D3997DA" w14:textId="77777777" w:rsidTr="008A7BA8">
        <w:tc>
          <w:tcPr>
            <w:tcW w:w="959" w:type="dxa"/>
            <w:hideMark/>
          </w:tcPr>
          <w:p w14:paraId="2D3997D8" w14:textId="77777777" w:rsidR="00383B50" w:rsidRPr="00A529FA" w:rsidRDefault="00383B50" w:rsidP="00C3571B">
            <w:pPr>
              <w:spacing w:line="276" w:lineRule="auto"/>
              <w:jc w:val="both"/>
              <w:rPr>
                <w:rFonts w:ascii="Times New Roman" w:eastAsia="Calibri" w:hAnsi="Times New Roman"/>
                <w:sz w:val="22"/>
                <w:szCs w:val="22"/>
              </w:rPr>
            </w:pPr>
            <w:r w:rsidRPr="00A529FA">
              <w:rPr>
                <w:rFonts w:ascii="Times New Roman" w:eastAsia="Calibri" w:hAnsi="Times New Roman"/>
                <w:sz w:val="22"/>
                <w:szCs w:val="22"/>
              </w:rPr>
              <w:t>D =</w:t>
            </w:r>
          </w:p>
        </w:tc>
        <w:tc>
          <w:tcPr>
            <w:tcW w:w="8113" w:type="dxa"/>
            <w:hideMark/>
          </w:tcPr>
          <w:p w14:paraId="2D3997D9" w14:textId="77777777" w:rsidR="00383B50" w:rsidRPr="00A529FA" w:rsidRDefault="00383B50" w:rsidP="00C3571B">
            <w:pPr>
              <w:spacing w:line="276" w:lineRule="auto"/>
              <w:ind w:left="33"/>
              <w:jc w:val="both"/>
              <w:rPr>
                <w:rFonts w:ascii="Times New Roman" w:eastAsia="Calibri" w:hAnsi="Times New Roman"/>
                <w:sz w:val="22"/>
                <w:szCs w:val="22"/>
              </w:rPr>
            </w:pPr>
            <w:r w:rsidRPr="00A529FA">
              <w:rPr>
                <w:rFonts w:ascii="Times New Roman" w:eastAsia="Calibri" w:hAnsi="Times New Roman"/>
                <w:sz w:val="22"/>
                <w:szCs w:val="22"/>
              </w:rPr>
              <w:t>stupeň závažnosti dopadu rizika/jeho dôsledku (vyhodnocuje sa na škále prideľovaných hodnôt určených z KA - 1 až 4);</w:t>
            </w:r>
          </w:p>
        </w:tc>
      </w:tr>
      <w:tr w:rsidR="00383B50" w:rsidRPr="0012475C" w14:paraId="2D3997DD" w14:textId="77777777" w:rsidTr="008A7BA8">
        <w:tc>
          <w:tcPr>
            <w:tcW w:w="959" w:type="dxa"/>
            <w:hideMark/>
          </w:tcPr>
          <w:p w14:paraId="2D3997DB" w14:textId="77777777" w:rsidR="00383B50" w:rsidRPr="00A529FA" w:rsidRDefault="00383B50" w:rsidP="00C3571B">
            <w:pPr>
              <w:spacing w:line="276" w:lineRule="auto"/>
              <w:jc w:val="both"/>
              <w:rPr>
                <w:rFonts w:ascii="Times New Roman" w:eastAsia="Calibri" w:hAnsi="Times New Roman"/>
                <w:sz w:val="22"/>
                <w:szCs w:val="22"/>
              </w:rPr>
            </w:pPr>
            <w:r w:rsidRPr="00A529FA">
              <w:rPr>
                <w:rFonts w:ascii="Times New Roman" w:eastAsia="Calibri" w:hAnsi="Times New Roman"/>
                <w:sz w:val="22"/>
                <w:szCs w:val="22"/>
              </w:rPr>
              <w:t>P =</w:t>
            </w:r>
          </w:p>
        </w:tc>
        <w:tc>
          <w:tcPr>
            <w:tcW w:w="8113" w:type="dxa"/>
            <w:hideMark/>
          </w:tcPr>
          <w:p w14:paraId="2D3997DC" w14:textId="77777777" w:rsidR="00383B50" w:rsidRPr="00A529FA" w:rsidRDefault="00383B50" w:rsidP="008A7BA8">
            <w:pPr>
              <w:spacing w:line="276" w:lineRule="auto"/>
              <w:ind w:left="33" w:right="423"/>
              <w:jc w:val="both"/>
              <w:rPr>
                <w:rFonts w:ascii="Times New Roman" w:eastAsia="Calibri" w:hAnsi="Times New Roman"/>
                <w:sz w:val="22"/>
                <w:szCs w:val="22"/>
              </w:rPr>
            </w:pPr>
            <w:r w:rsidRPr="00A529FA">
              <w:rPr>
                <w:rFonts w:ascii="Times New Roman" w:eastAsia="Calibri" w:hAnsi="Times New Roman"/>
                <w:sz w:val="22"/>
                <w:szCs w:val="22"/>
              </w:rPr>
              <w:t xml:space="preserve">pravdepodobnosť vzniku/opakovanie negatívneho javu/faktoru (vyhodnocuje sa na škále prideľovaných hodnôt určených z KA - 1 až 4); </w:t>
            </w:r>
          </w:p>
        </w:tc>
      </w:tr>
      <w:tr w:rsidR="00383B50" w:rsidRPr="0012475C" w14:paraId="2D3997E0" w14:textId="77777777" w:rsidTr="008A7BA8">
        <w:tc>
          <w:tcPr>
            <w:tcW w:w="959" w:type="dxa"/>
          </w:tcPr>
          <w:p w14:paraId="2D3997DE" w14:textId="77777777" w:rsidR="00383B50" w:rsidRPr="00450DEB" w:rsidRDefault="00383B50" w:rsidP="00C3571B">
            <w:pPr>
              <w:spacing w:line="276" w:lineRule="auto"/>
              <w:jc w:val="both"/>
              <w:rPr>
                <w:rFonts w:ascii="Times New Roman" w:eastAsia="Calibri" w:hAnsi="Times New Roman"/>
                <w:sz w:val="22"/>
                <w:szCs w:val="22"/>
                <w:highlight w:val="yellow"/>
              </w:rPr>
            </w:pPr>
          </w:p>
        </w:tc>
        <w:tc>
          <w:tcPr>
            <w:tcW w:w="8113" w:type="dxa"/>
          </w:tcPr>
          <w:p w14:paraId="2D3997DF" w14:textId="77777777" w:rsidR="00383B50" w:rsidRPr="00450DEB" w:rsidRDefault="00383B50" w:rsidP="00C3571B">
            <w:pPr>
              <w:spacing w:line="276" w:lineRule="auto"/>
              <w:ind w:left="33"/>
              <w:jc w:val="both"/>
              <w:rPr>
                <w:rFonts w:ascii="Times New Roman" w:eastAsia="Calibri" w:hAnsi="Times New Roman"/>
                <w:sz w:val="22"/>
                <w:szCs w:val="22"/>
                <w:highlight w:val="yellow"/>
              </w:rPr>
            </w:pPr>
          </w:p>
        </w:tc>
      </w:tr>
    </w:tbl>
    <w:p w14:paraId="2D3997E2" w14:textId="4B3623BE" w:rsidR="00383B50" w:rsidRPr="00A529FA" w:rsidRDefault="00383B50" w:rsidP="00C3571B">
      <w:pPr>
        <w:pStyle w:val="Nadpis4"/>
        <w:spacing w:before="0" w:after="0" w:line="276" w:lineRule="auto"/>
        <w:ind w:left="0" w:firstLine="0"/>
        <w:rPr>
          <w:rFonts w:ascii="Times New Roman" w:hAnsi="Times New Roman"/>
          <w:b/>
          <w:bCs/>
          <w:sz w:val="22"/>
          <w:szCs w:val="22"/>
        </w:rPr>
      </w:pPr>
      <w:r w:rsidRPr="00A529FA">
        <w:rPr>
          <w:rFonts w:ascii="Times New Roman" w:hAnsi="Times New Roman"/>
          <w:b/>
          <w:bCs/>
          <w:sz w:val="22"/>
          <w:szCs w:val="22"/>
        </w:rPr>
        <w:t>Posúdenie celkovej miery rizika</w:t>
      </w:r>
    </w:p>
    <w:p w14:paraId="2D3997E3" w14:textId="227B50FD" w:rsidR="00383B50" w:rsidRPr="00A529FA" w:rsidRDefault="00383B50" w:rsidP="00C3571B">
      <w:pPr>
        <w:pStyle w:val="Odsekzoznamu"/>
        <w:spacing w:line="276" w:lineRule="auto"/>
        <w:ind w:left="0"/>
        <w:jc w:val="both"/>
        <w:rPr>
          <w:rFonts w:ascii="Times New Roman" w:hAnsi="Times New Roman" w:cs="Times New Roman"/>
          <w:sz w:val="22"/>
        </w:rPr>
      </w:pPr>
      <w:r w:rsidRPr="00A529FA">
        <w:rPr>
          <w:rFonts w:ascii="Times New Roman" w:hAnsi="Times New Roman" w:cs="Times New Roman"/>
          <w:sz w:val="22"/>
        </w:rPr>
        <w:t>Hodnotenie rizika je etapa, v ktorej sa zhodnotia riziká na základe kritérií s akceptovateľnou oblasťou rizika s cieľom vylúčenia nebezpečenstva s neprijateľnou (kritickou) oblasťou rizika.</w:t>
      </w:r>
      <w:r w:rsidR="00CE75E3" w:rsidRPr="00A529FA">
        <w:rPr>
          <w:rFonts w:ascii="Times New Roman" w:hAnsi="Times New Roman" w:cs="Times New Roman"/>
          <w:sz w:val="22"/>
        </w:rPr>
        <w:t xml:space="preserve"> Pri hodnotení rizika vychádzame z prílohy č. 2 </w:t>
      </w:r>
      <w:r w:rsidR="00CE75E3" w:rsidRPr="00A529FA">
        <w:rPr>
          <w:rFonts w:ascii="Times New Roman" w:hAnsi="Times New Roman"/>
          <w:sz w:val="22"/>
        </w:rPr>
        <w:t>„Nástroj na vlastné posúdenie“.</w:t>
      </w:r>
      <w:r w:rsidRPr="00A529FA">
        <w:rPr>
          <w:rFonts w:ascii="Times New Roman" w:hAnsi="Times New Roman" w:cs="Times New Roman"/>
          <w:sz w:val="22"/>
        </w:rPr>
        <w:t xml:space="preserve"> </w:t>
      </w:r>
    </w:p>
    <w:p w14:paraId="2D3997E4" w14:textId="67D6FB4B" w:rsidR="00383B50" w:rsidRPr="00080306" w:rsidRDefault="00383B50" w:rsidP="00C3571B">
      <w:pPr>
        <w:spacing w:before="120" w:after="120" w:line="276" w:lineRule="auto"/>
        <w:jc w:val="both"/>
        <w:rPr>
          <w:rFonts w:ascii="Times New Roman" w:hAnsi="Times New Roman"/>
          <w:sz w:val="22"/>
          <w:szCs w:val="22"/>
        </w:rPr>
      </w:pPr>
      <w:r w:rsidRPr="00A529FA">
        <w:rPr>
          <w:rFonts w:ascii="Times New Roman" w:hAnsi="Times New Roman"/>
          <w:sz w:val="22"/>
          <w:szCs w:val="22"/>
        </w:rPr>
        <w:t>Pre zabezpečenie systematického a homogénneho hodnotenia rizík na úrovni systémov riadenia a kontroly sú pre účely hodnoteni</w:t>
      </w:r>
      <w:r w:rsidR="003007C6" w:rsidRPr="00A529FA">
        <w:rPr>
          <w:rFonts w:ascii="Times New Roman" w:hAnsi="Times New Roman"/>
          <w:sz w:val="22"/>
          <w:szCs w:val="22"/>
        </w:rPr>
        <w:t>a vykonávanej tímom</w:t>
      </w:r>
      <w:r w:rsidR="007C5030" w:rsidRPr="00A529FA">
        <w:rPr>
          <w:rFonts w:ascii="Times New Roman" w:hAnsi="Times New Roman"/>
          <w:sz w:val="22"/>
          <w:szCs w:val="22"/>
        </w:rPr>
        <w:t xml:space="preserve"> </w:t>
      </w:r>
      <w:r w:rsidR="007C26A5">
        <w:rPr>
          <w:rFonts w:ascii="Times New Roman" w:hAnsi="Times New Roman"/>
          <w:sz w:val="22"/>
          <w:szCs w:val="22"/>
        </w:rPr>
        <w:t xml:space="preserve">pre riadenie </w:t>
      </w:r>
      <w:r w:rsidR="007C5030" w:rsidRPr="00A529FA">
        <w:rPr>
          <w:rFonts w:ascii="Times New Roman" w:hAnsi="Times New Roman"/>
          <w:sz w:val="22"/>
          <w:szCs w:val="22"/>
        </w:rPr>
        <w:t>rizík podvodov</w:t>
      </w:r>
      <w:r w:rsidRPr="00A529FA">
        <w:rPr>
          <w:rFonts w:ascii="Times New Roman" w:hAnsi="Times New Roman"/>
          <w:sz w:val="22"/>
          <w:szCs w:val="22"/>
        </w:rPr>
        <w:t xml:space="preserve"> zadefinované jednoznačné rozhodovacie parametre (na priradenie hodnoty atribútom rizika – významnosti </w:t>
      </w:r>
      <w:r w:rsidRPr="00080306">
        <w:rPr>
          <w:rFonts w:ascii="Times New Roman" w:hAnsi="Times New Roman"/>
          <w:sz w:val="22"/>
          <w:szCs w:val="22"/>
        </w:rPr>
        <w:t>a pravdepodobnosti vzniku):</w:t>
      </w:r>
    </w:p>
    <w:p w14:paraId="2D3997E8" w14:textId="77777777" w:rsidR="00383B50" w:rsidRPr="00080306" w:rsidRDefault="00383B50" w:rsidP="00C3571B">
      <w:pPr>
        <w:spacing w:after="120" w:line="276" w:lineRule="auto"/>
        <w:jc w:val="both"/>
        <w:rPr>
          <w:rFonts w:ascii="Times New Roman" w:hAnsi="Times New Roman"/>
          <w:sz w:val="22"/>
          <w:szCs w:val="22"/>
          <w:lang w:eastAsia="cs-CZ"/>
        </w:rPr>
      </w:pPr>
      <w:r w:rsidRPr="00080306">
        <w:rPr>
          <w:rFonts w:ascii="Times New Roman" w:hAnsi="Times New Roman"/>
          <w:sz w:val="22"/>
          <w:szCs w:val="22"/>
          <w:lang w:eastAsia="cs-CZ"/>
        </w:rPr>
        <w:t>Pre oblasť posúdenia rizík možného podvodu možno analogicky odvodiť rozhodovacie parametre (na priradenie hodnoty atribútom rizika – významnosti a pravdepodobnosti vzniku):</w:t>
      </w:r>
    </w:p>
    <w:p w14:paraId="2D3997E9" w14:textId="3434345F" w:rsidR="00383B50" w:rsidRPr="00080306" w:rsidRDefault="00383B50" w:rsidP="00C3571B">
      <w:pPr>
        <w:pStyle w:val="Odsekzoznamu"/>
        <w:numPr>
          <w:ilvl w:val="0"/>
          <w:numId w:val="8"/>
        </w:numPr>
        <w:spacing w:before="120" w:after="120" w:line="276" w:lineRule="auto"/>
        <w:jc w:val="both"/>
        <w:rPr>
          <w:rFonts w:ascii="Times New Roman" w:hAnsi="Times New Roman" w:cs="Times New Roman"/>
          <w:sz w:val="22"/>
          <w:lang w:eastAsia="en-US"/>
        </w:rPr>
      </w:pPr>
      <w:r w:rsidRPr="00080306">
        <w:rPr>
          <w:rFonts w:ascii="Times New Roman" w:hAnsi="Times New Roman" w:cs="Times New Roman"/>
          <w:b/>
          <w:sz w:val="22"/>
          <w:lang w:eastAsia="en-US"/>
        </w:rPr>
        <w:t>zanedbateľné alebo mierne riziko</w:t>
      </w:r>
      <w:r w:rsidRPr="00080306">
        <w:rPr>
          <w:rFonts w:ascii="Times New Roman" w:hAnsi="Times New Roman" w:cs="Times New Roman"/>
          <w:sz w:val="22"/>
          <w:lang w:eastAsia="en-US"/>
        </w:rPr>
        <w:t xml:space="preserve"> – oblasť prijateľných rizík – dopad zanedbateľný, resp. obmedzený – môže predstavovať také konanie, pri ktorom nie je možné jednoznačné preukázanie podvodného konania (úkony bez alebo s nízkym finančným dopadom) – možným dopadom je oneskorené  dosiahnutie operačného cieľa;</w:t>
      </w:r>
    </w:p>
    <w:p w14:paraId="2D3997EA" w14:textId="08B3C3E3" w:rsidR="00383B50" w:rsidRPr="00080306" w:rsidRDefault="00383B50" w:rsidP="00C3571B">
      <w:pPr>
        <w:pStyle w:val="Odsekzoznamu"/>
        <w:numPr>
          <w:ilvl w:val="0"/>
          <w:numId w:val="8"/>
        </w:numPr>
        <w:spacing w:before="120" w:after="120" w:line="276" w:lineRule="auto"/>
        <w:jc w:val="both"/>
        <w:rPr>
          <w:rFonts w:ascii="Times New Roman" w:hAnsi="Times New Roman" w:cs="Times New Roman"/>
          <w:sz w:val="22"/>
          <w:lang w:eastAsia="en-US"/>
        </w:rPr>
      </w:pPr>
      <w:r w:rsidRPr="00080306">
        <w:rPr>
          <w:rFonts w:ascii="Times New Roman" w:hAnsi="Times New Roman" w:cs="Times New Roman"/>
          <w:b/>
          <w:sz w:val="22"/>
          <w:lang w:eastAsia="en-US"/>
        </w:rPr>
        <w:t>stredné riziko</w:t>
      </w:r>
      <w:r w:rsidRPr="00080306">
        <w:rPr>
          <w:rFonts w:ascii="Times New Roman" w:hAnsi="Times New Roman" w:cs="Times New Roman"/>
          <w:sz w:val="22"/>
          <w:lang w:eastAsia="en-US"/>
        </w:rPr>
        <w:t xml:space="preserve"> – oblasť významných rizík s potrebou aplikácie doplňujúcich opatrení/protiopatrení (v rámci tzv. Akčného plánu) </w:t>
      </w:r>
      <w:r w:rsidR="009455D4" w:rsidRPr="00080306">
        <w:rPr>
          <w:rFonts w:ascii="Times New Roman" w:hAnsi="Times New Roman" w:cs="Times New Roman"/>
          <w:sz w:val="22"/>
          <w:lang w:eastAsia="en-US"/>
        </w:rPr>
        <w:t>v existujúcich postupoch v odhaľ</w:t>
      </w:r>
      <w:r w:rsidRPr="00080306">
        <w:rPr>
          <w:rFonts w:ascii="Times New Roman" w:hAnsi="Times New Roman" w:cs="Times New Roman"/>
          <w:sz w:val="22"/>
          <w:lang w:eastAsia="en-US"/>
        </w:rPr>
        <w:t>ovaní podvodov – môže ísť o individuálne konanie týkajúce sa napr. jedného projektu – je potrebné analyzovať účinnosť existujúcich postupov a určiť aplikáciu doplňujúcich postupov, resp. navrhnúť zefektívnenie, úpra</w:t>
      </w:r>
      <w:r w:rsidR="009455D4" w:rsidRPr="00080306">
        <w:rPr>
          <w:rFonts w:ascii="Times New Roman" w:hAnsi="Times New Roman" w:cs="Times New Roman"/>
          <w:sz w:val="22"/>
          <w:lang w:eastAsia="en-US"/>
        </w:rPr>
        <w:t>vu alebo inováciu postupov odhaľ</w:t>
      </w:r>
      <w:r w:rsidRPr="00080306">
        <w:rPr>
          <w:rFonts w:ascii="Times New Roman" w:hAnsi="Times New Roman" w:cs="Times New Roman"/>
          <w:sz w:val="22"/>
          <w:lang w:eastAsia="en-US"/>
        </w:rPr>
        <w:t xml:space="preserve">ovania možných podvodov a tieto zaviesť do praxe – </w:t>
      </w:r>
      <w:r w:rsidRPr="00080306">
        <w:rPr>
          <w:rFonts w:ascii="Times New Roman" w:hAnsi="Times New Roman" w:cs="Times New Roman"/>
          <w:sz w:val="22"/>
        </w:rPr>
        <w:t>možným dopadom je ohrozenie dosiahnutia operačného cieľa a plnenie strategického cieľa je v sklze</w:t>
      </w:r>
      <w:r w:rsidRPr="00080306">
        <w:rPr>
          <w:rFonts w:ascii="Times New Roman" w:hAnsi="Times New Roman" w:cs="Times New Roman"/>
          <w:sz w:val="22"/>
          <w:lang w:eastAsia="en-US"/>
        </w:rPr>
        <w:t>;</w:t>
      </w:r>
    </w:p>
    <w:p w14:paraId="2D3997EB" w14:textId="599A91F4" w:rsidR="00383B50" w:rsidRPr="00080306" w:rsidRDefault="00383B50" w:rsidP="00C3571B">
      <w:pPr>
        <w:pStyle w:val="Odsekzoznamu"/>
        <w:numPr>
          <w:ilvl w:val="0"/>
          <w:numId w:val="8"/>
        </w:numPr>
        <w:spacing w:before="120" w:after="120" w:line="276" w:lineRule="auto"/>
        <w:jc w:val="both"/>
        <w:rPr>
          <w:rFonts w:ascii="Times New Roman" w:hAnsi="Times New Roman" w:cs="Times New Roman"/>
          <w:sz w:val="22"/>
          <w:lang w:eastAsia="en-US"/>
        </w:rPr>
      </w:pPr>
      <w:r w:rsidRPr="00080306">
        <w:rPr>
          <w:rFonts w:ascii="Times New Roman" w:hAnsi="Times New Roman" w:cs="Times New Roman"/>
          <w:b/>
          <w:sz w:val="22"/>
          <w:lang w:eastAsia="en-US"/>
        </w:rPr>
        <w:t>kritické riziko</w:t>
      </w:r>
      <w:r w:rsidRPr="00080306">
        <w:rPr>
          <w:rFonts w:ascii="Times New Roman" w:hAnsi="Times New Roman" w:cs="Times New Roman"/>
          <w:sz w:val="22"/>
          <w:lang w:eastAsia="en-US"/>
        </w:rPr>
        <w:t xml:space="preserve"> – oblasť neprijateľných (kritických) rizík s povinnou implementáciou  systémových postupov – obzvlášť závažný charakter podvodu alebo je do neho zapojených viacero prijímateľov, je potrebné analyzovať účinnosť existujúcich ako aj doplňujúcich </w:t>
      </w:r>
      <w:r w:rsidRPr="00080306">
        <w:rPr>
          <w:rFonts w:ascii="Times New Roman" w:hAnsi="Times New Roman" w:cs="Times New Roman"/>
          <w:sz w:val="22"/>
          <w:lang w:eastAsia="en-US"/>
        </w:rPr>
        <w:lastRenderedPageBreak/>
        <w:t xml:space="preserve">postupov na odhaľovanie podvodov, navrhnúť nové postupy pre odhaľovanie podvodov a okamžite tieto zaviesť do praxe – možným dopadom je </w:t>
      </w:r>
      <w:r w:rsidRPr="00080306">
        <w:rPr>
          <w:rFonts w:ascii="Times New Roman" w:hAnsi="Times New Roman" w:cs="Times New Roman"/>
          <w:sz w:val="22"/>
        </w:rPr>
        <w:t>ohrozenie dosiahnutia strategického cieľa</w:t>
      </w:r>
      <w:r w:rsidRPr="00080306">
        <w:rPr>
          <w:rFonts w:ascii="Times New Roman" w:hAnsi="Times New Roman" w:cs="Times New Roman"/>
          <w:sz w:val="22"/>
          <w:lang w:eastAsia="en-US"/>
        </w:rPr>
        <w:t>.</w:t>
      </w:r>
    </w:p>
    <w:p w14:paraId="2D3997EC" w14:textId="443B0B7C" w:rsidR="00383B50" w:rsidRPr="00080306" w:rsidRDefault="00383B50" w:rsidP="008041D7">
      <w:pPr>
        <w:spacing w:before="120" w:after="120" w:line="276" w:lineRule="auto"/>
        <w:jc w:val="both"/>
        <w:rPr>
          <w:rFonts w:ascii="Times New Roman" w:hAnsi="Times New Roman"/>
          <w:sz w:val="22"/>
          <w:szCs w:val="22"/>
          <w:lang w:eastAsia="en-US"/>
        </w:rPr>
      </w:pPr>
      <w:r w:rsidRPr="00080306">
        <w:rPr>
          <w:rFonts w:ascii="Times New Roman" w:hAnsi="Times New Roman"/>
          <w:sz w:val="22"/>
          <w:szCs w:val="22"/>
          <w:lang w:eastAsia="en-US"/>
        </w:rPr>
        <w:t xml:space="preserve">V oblasti riadenia rizík </w:t>
      </w:r>
      <w:r w:rsidR="007C5030" w:rsidRPr="00080306">
        <w:rPr>
          <w:rFonts w:ascii="Times New Roman" w:hAnsi="Times New Roman"/>
          <w:sz w:val="22"/>
          <w:szCs w:val="22"/>
          <w:lang w:eastAsia="en-US"/>
        </w:rPr>
        <w:t>podvodov</w:t>
      </w:r>
      <w:r w:rsidRPr="00080306">
        <w:rPr>
          <w:rFonts w:ascii="Times New Roman" w:hAnsi="Times New Roman"/>
          <w:sz w:val="22"/>
          <w:szCs w:val="22"/>
          <w:lang w:eastAsia="en-US"/>
        </w:rPr>
        <w:t xml:space="preserve"> sú postupy orientované predovšetkým na určovanie indikátorov podvodu, za samotné vyšetrovanie, resp. súdne konanie v právnom rámci SR zodpovedajú orgány činné v trestnom konaní a súdne </w:t>
      </w:r>
      <w:r w:rsidR="008041D7" w:rsidRPr="00080306">
        <w:rPr>
          <w:rFonts w:ascii="Times New Roman" w:hAnsi="Times New Roman"/>
          <w:sz w:val="22"/>
          <w:szCs w:val="22"/>
          <w:lang w:eastAsia="en-US"/>
        </w:rPr>
        <w:t xml:space="preserve">orgány, v uvedenom rámci musí </w:t>
      </w:r>
      <w:r w:rsidR="00B52831" w:rsidRPr="00080306">
        <w:rPr>
          <w:rFonts w:ascii="Times New Roman" w:hAnsi="Times New Roman"/>
          <w:sz w:val="22"/>
          <w:szCs w:val="22"/>
          <w:lang w:eastAsia="en-US"/>
        </w:rPr>
        <w:t>R</w:t>
      </w:r>
      <w:r w:rsidR="008041D7" w:rsidRPr="00080306">
        <w:rPr>
          <w:rFonts w:ascii="Times New Roman" w:hAnsi="Times New Roman"/>
          <w:sz w:val="22"/>
          <w:szCs w:val="22"/>
          <w:lang w:eastAsia="en-US"/>
        </w:rPr>
        <w:t>O</w:t>
      </w:r>
      <w:r w:rsidRPr="00080306">
        <w:rPr>
          <w:rFonts w:ascii="Times New Roman" w:hAnsi="Times New Roman"/>
          <w:sz w:val="22"/>
          <w:szCs w:val="22"/>
          <w:lang w:eastAsia="en-US"/>
        </w:rPr>
        <w:t xml:space="preserve"> zabezpečiť predovšetkým operatívnu spoluprácu s uvedenými orgánmi.</w:t>
      </w:r>
    </w:p>
    <w:p w14:paraId="42B3313D" w14:textId="540B5E78" w:rsidR="003237CF" w:rsidRPr="00881D18" w:rsidRDefault="00383B50" w:rsidP="00C3571B">
      <w:pPr>
        <w:spacing w:line="276" w:lineRule="auto"/>
        <w:jc w:val="both"/>
        <w:rPr>
          <w:rFonts w:ascii="Times New Roman" w:hAnsi="Times New Roman"/>
          <w:sz w:val="22"/>
          <w:szCs w:val="22"/>
          <w:lang w:eastAsia="cs-CZ"/>
        </w:rPr>
      </w:pPr>
      <w:r w:rsidRPr="00080306">
        <w:rPr>
          <w:rFonts w:ascii="Times New Roman" w:hAnsi="Times New Roman"/>
          <w:sz w:val="22"/>
          <w:szCs w:val="22"/>
          <w:lang w:eastAsia="cs-CZ"/>
        </w:rPr>
        <w:t xml:space="preserve">Posúdenie Celkovej miery rizika sa vykonáva na rozhodovacej matici, ktorá podľa hodnoty CMR triedi jednotlivé riziká na 3 základné rizikové oblasti: </w:t>
      </w:r>
    </w:p>
    <w:p w14:paraId="372B3EC4" w14:textId="77777777" w:rsidR="003237CF" w:rsidRPr="00881D18" w:rsidRDefault="003237CF" w:rsidP="00C3571B">
      <w:pPr>
        <w:spacing w:line="276" w:lineRule="auto"/>
        <w:jc w:val="both"/>
        <w:rPr>
          <w:rFonts w:ascii="Times New Roman" w:hAnsi="Times New Roman"/>
          <w:sz w:val="22"/>
          <w:szCs w:val="22"/>
        </w:rPr>
      </w:pPr>
    </w:p>
    <w:p w14:paraId="2D3997EE" w14:textId="2A77209F" w:rsidR="00383B50" w:rsidRPr="00881D18" w:rsidRDefault="00383B50" w:rsidP="00C3571B">
      <w:pPr>
        <w:spacing w:line="276" w:lineRule="auto"/>
        <w:jc w:val="both"/>
        <w:rPr>
          <w:rFonts w:ascii="Times New Roman" w:hAnsi="Times New Roman"/>
          <w:sz w:val="22"/>
          <w:szCs w:val="22"/>
        </w:rPr>
      </w:pPr>
      <w:r w:rsidRPr="00881D18">
        <w:rPr>
          <w:rFonts w:ascii="Times New Roman" w:hAnsi="Times New Roman"/>
          <w:sz w:val="22"/>
          <w:szCs w:val="22"/>
        </w:rPr>
        <w:t>Obrázok: Matica rizík</w:t>
      </w:r>
    </w:p>
    <w:p w14:paraId="5A001F0A" w14:textId="77777777" w:rsidR="00D32563" w:rsidRPr="00881D18" w:rsidRDefault="00D32563" w:rsidP="00D32563">
      <w:pPr>
        <w:spacing w:line="276" w:lineRule="auto"/>
        <w:ind w:left="709"/>
        <w:jc w:val="both"/>
        <w:rPr>
          <w:rFonts w:ascii="Times New Roman" w:hAnsi="Times New Roman"/>
          <w:b/>
          <w:noProof/>
          <w:sz w:val="22"/>
          <w:szCs w:val="22"/>
        </w:rPr>
      </w:pPr>
    </w:p>
    <w:p w14:paraId="65974DF9" w14:textId="0BFDB8B7" w:rsidR="00D32563" w:rsidRPr="00881D18" w:rsidRDefault="00D32563" w:rsidP="00D32563">
      <w:pPr>
        <w:spacing w:line="276" w:lineRule="auto"/>
        <w:ind w:left="709"/>
        <w:jc w:val="both"/>
        <w:rPr>
          <w:rFonts w:ascii="Times New Roman" w:hAnsi="Times New Roman"/>
          <w:b/>
          <w:noProof/>
          <w:sz w:val="22"/>
          <w:szCs w:val="22"/>
        </w:rPr>
      </w:pPr>
      <w:r w:rsidRPr="00881D18">
        <w:rPr>
          <w:rFonts w:ascii="Times New Roman" w:hAnsi="Times New Roman"/>
          <w:b/>
          <w:noProof/>
          <w:sz w:val="22"/>
          <w:szCs w:val="22"/>
        </w:rPr>
        <w:t xml:space="preserve">  Pravdebodobnosť </w:t>
      </w:r>
    </w:p>
    <w:p w14:paraId="00FF907D" w14:textId="6FE529C0" w:rsidR="00D32563" w:rsidRPr="00881D18" w:rsidRDefault="00D32563" w:rsidP="00D32563">
      <w:pPr>
        <w:spacing w:line="276" w:lineRule="auto"/>
        <w:ind w:left="851"/>
        <w:jc w:val="both"/>
        <w:rPr>
          <w:rFonts w:ascii="Times New Roman" w:hAnsi="Times New Roman"/>
          <w:b/>
          <w:noProof/>
          <w:sz w:val="22"/>
          <w:szCs w:val="22"/>
        </w:rPr>
      </w:pPr>
      <w:r w:rsidRPr="00881D18">
        <w:rPr>
          <w:rFonts w:ascii="Times New Roman" w:hAnsi="Times New Roman"/>
          <w:b/>
          <w:noProof/>
          <w:sz w:val="22"/>
          <w:szCs w:val="22"/>
        </w:rPr>
        <w:t xml:space="preserve">  výskytu rizika</w:t>
      </w:r>
    </w:p>
    <w:tbl>
      <w:tblPr>
        <w:tblStyle w:val="Mriekatabuky"/>
        <w:tblW w:w="0" w:type="auto"/>
        <w:jc w:val="center"/>
        <w:tblLook w:val="04A0" w:firstRow="1" w:lastRow="0" w:firstColumn="1" w:lastColumn="0" w:noHBand="0" w:noVBand="1"/>
      </w:tblPr>
      <w:tblGrid>
        <w:gridCol w:w="1510"/>
        <w:gridCol w:w="901"/>
        <w:gridCol w:w="1510"/>
        <w:gridCol w:w="1510"/>
        <w:gridCol w:w="1511"/>
        <w:gridCol w:w="1511"/>
      </w:tblGrid>
      <w:tr w:rsidR="00D32563" w:rsidRPr="00881D18" w14:paraId="6F298783" w14:textId="77777777" w:rsidTr="00D32563">
        <w:trPr>
          <w:cantSplit/>
          <w:trHeight w:val="567"/>
          <w:jc w:val="center"/>
        </w:trPr>
        <w:tc>
          <w:tcPr>
            <w:tcW w:w="1510" w:type="dxa"/>
            <w:shd w:val="clear" w:color="auto" w:fill="DEEAF6" w:themeFill="accent1" w:themeFillTint="33"/>
            <w:vAlign w:val="center"/>
          </w:tcPr>
          <w:p w14:paraId="5405F6B6" w14:textId="21A927EC" w:rsidR="00D32563" w:rsidRPr="00881D18" w:rsidRDefault="008A7BA8" w:rsidP="00060542">
            <w:pPr>
              <w:jc w:val="center"/>
              <w:rPr>
                <w:b/>
                <w:sz w:val="22"/>
                <w:szCs w:val="22"/>
              </w:rPr>
            </w:pPr>
            <w:r w:rsidRPr="00881D18">
              <w:rPr>
                <w:b/>
                <w:sz w:val="22"/>
                <w:szCs w:val="22"/>
              </w:rPr>
              <w:t>v</w:t>
            </w:r>
            <w:r w:rsidR="00D32563" w:rsidRPr="00881D18">
              <w:rPr>
                <w:b/>
                <w:sz w:val="22"/>
                <w:szCs w:val="22"/>
              </w:rPr>
              <w:t>eľmi vysoká</w:t>
            </w:r>
          </w:p>
        </w:tc>
        <w:tc>
          <w:tcPr>
            <w:tcW w:w="470" w:type="dxa"/>
            <w:shd w:val="clear" w:color="auto" w:fill="DEEAF6" w:themeFill="accent1" w:themeFillTint="33"/>
            <w:vAlign w:val="center"/>
          </w:tcPr>
          <w:p w14:paraId="03D698A2" w14:textId="77777777" w:rsidR="00D32563" w:rsidRPr="00881D18" w:rsidRDefault="00D32563" w:rsidP="00060542">
            <w:pPr>
              <w:jc w:val="center"/>
              <w:rPr>
                <w:b/>
                <w:sz w:val="22"/>
                <w:szCs w:val="22"/>
              </w:rPr>
            </w:pPr>
            <w:r w:rsidRPr="00881D18">
              <w:rPr>
                <w:b/>
                <w:sz w:val="22"/>
                <w:szCs w:val="22"/>
              </w:rPr>
              <w:t>4</w:t>
            </w:r>
          </w:p>
        </w:tc>
        <w:tc>
          <w:tcPr>
            <w:tcW w:w="1510" w:type="dxa"/>
            <w:shd w:val="clear" w:color="auto" w:fill="FFFF00"/>
            <w:vAlign w:val="center"/>
          </w:tcPr>
          <w:p w14:paraId="5AAA43A2" w14:textId="77777777" w:rsidR="00D32563" w:rsidRPr="00881D18" w:rsidRDefault="00D32563" w:rsidP="00060542">
            <w:pPr>
              <w:jc w:val="center"/>
              <w:rPr>
                <w:b/>
                <w:sz w:val="22"/>
                <w:szCs w:val="22"/>
              </w:rPr>
            </w:pPr>
            <w:r w:rsidRPr="00881D18">
              <w:rPr>
                <w:b/>
                <w:sz w:val="22"/>
                <w:szCs w:val="22"/>
              </w:rPr>
              <w:t>4</w:t>
            </w:r>
          </w:p>
        </w:tc>
        <w:tc>
          <w:tcPr>
            <w:tcW w:w="1510" w:type="dxa"/>
            <w:shd w:val="clear" w:color="auto" w:fill="FF0000"/>
            <w:vAlign w:val="center"/>
          </w:tcPr>
          <w:p w14:paraId="50F19450" w14:textId="77777777" w:rsidR="00D32563" w:rsidRPr="00881D18" w:rsidRDefault="00D32563" w:rsidP="00060542">
            <w:pPr>
              <w:jc w:val="center"/>
              <w:rPr>
                <w:b/>
                <w:sz w:val="22"/>
                <w:szCs w:val="22"/>
              </w:rPr>
            </w:pPr>
            <w:r w:rsidRPr="00881D18">
              <w:rPr>
                <w:b/>
                <w:sz w:val="22"/>
                <w:szCs w:val="22"/>
              </w:rPr>
              <w:t>8</w:t>
            </w:r>
          </w:p>
        </w:tc>
        <w:tc>
          <w:tcPr>
            <w:tcW w:w="1511" w:type="dxa"/>
            <w:shd w:val="clear" w:color="auto" w:fill="FF0000"/>
            <w:vAlign w:val="center"/>
          </w:tcPr>
          <w:p w14:paraId="5ED3A192" w14:textId="77777777" w:rsidR="00D32563" w:rsidRPr="00881D18" w:rsidRDefault="00D32563" w:rsidP="00060542">
            <w:pPr>
              <w:jc w:val="center"/>
              <w:rPr>
                <w:b/>
                <w:sz w:val="22"/>
                <w:szCs w:val="22"/>
              </w:rPr>
            </w:pPr>
            <w:r w:rsidRPr="00881D18">
              <w:rPr>
                <w:b/>
                <w:sz w:val="22"/>
                <w:szCs w:val="22"/>
              </w:rPr>
              <w:t>12</w:t>
            </w:r>
          </w:p>
        </w:tc>
        <w:tc>
          <w:tcPr>
            <w:tcW w:w="1511" w:type="dxa"/>
            <w:shd w:val="clear" w:color="auto" w:fill="FF0000"/>
            <w:vAlign w:val="center"/>
          </w:tcPr>
          <w:p w14:paraId="77EA3614" w14:textId="77777777" w:rsidR="00D32563" w:rsidRPr="00881D18" w:rsidRDefault="00D32563" w:rsidP="00060542">
            <w:pPr>
              <w:jc w:val="center"/>
              <w:rPr>
                <w:b/>
                <w:sz w:val="22"/>
                <w:szCs w:val="22"/>
              </w:rPr>
            </w:pPr>
            <w:r w:rsidRPr="00881D18">
              <w:rPr>
                <w:b/>
                <w:sz w:val="22"/>
                <w:szCs w:val="22"/>
              </w:rPr>
              <w:t>16</w:t>
            </w:r>
          </w:p>
        </w:tc>
      </w:tr>
      <w:tr w:rsidR="00D32563" w:rsidRPr="00881D18" w14:paraId="20299967" w14:textId="77777777" w:rsidTr="00D32563">
        <w:trPr>
          <w:cantSplit/>
          <w:trHeight w:val="561"/>
          <w:jc w:val="center"/>
        </w:trPr>
        <w:tc>
          <w:tcPr>
            <w:tcW w:w="1510" w:type="dxa"/>
            <w:shd w:val="clear" w:color="auto" w:fill="BDD6EE" w:themeFill="accent1" w:themeFillTint="66"/>
            <w:vAlign w:val="center"/>
          </w:tcPr>
          <w:p w14:paraId="27409C4F" w14:textId="77777777" w:rsidR="00D32563" w:rsidRPr="00881D18" w:rsidRDefault="00D32563" w:rsidP="00060542">
            <w:pPr>
              <w:jc w:val="center"/>
              <w:rPr>
                <w:b/>
                <w:sz w:val="22"/>
                <w:szCs w:val="22"/>
              </w:rPr>
            </w:pPr>
            <w:r w:rsidRPr="00881D18">
              <w:rPr>
                <w:b/>
                <w:sz w:val="22"/>
                <w:szCs w:val="22"/>
              </w:rPr>
              <w:t>vysoká</w:t>
            </w:r>
          </w:p>
        </w:tc>
        <w:tc>
          <w:tcPr>
            <w:tcW w:w="470" w:type="dxa"/>
            <w:shd w:val="clear" w:color="auto" w:fill="BDD6EE" w:themeFill="accent1" w:themeFillTint="66"/>
            <w:vAlign w:val="center"/>
          </w:tcPr>
          <w:p w14:paraId="74B955F1" w14:textId="77777777" w:rsidR="00D32563" w:rsidRPr="00881D18" w:rsidRDefault="00D32563" w:rsidP="00060542">
            <w:pPr>
              <w:jc w:val="center"/>
              <w:rPr>
                <w:b/>
                <w:sz w:val="22"/>
                <w:szCs w:val="22"/>
              </w:rPr>
            </w:pPr>
            <w:r w:rsidRPr="00881D18">
              <w:rPr>
                <w:b/>
                <w:sz w:val="22"/>
                <w:szCs w:val="22"/>
              </w:rPr>
              <w:t>3</w:t>
            </w:r>
          </w:p>
        </w:tc>
        <w:tc>
          <w:tcPr>
            <w:tcW w:w="1510" w:type="dxa"/>
            <w:shd w:val="clear" w:color="auto" w:fill="70AD47" w:themeFill="accent6"/>
            <w:vAlign w:val="center"/>
          </w:tcPr>
          <w:p w14:paraId="0522F730" w14:textId="77777777" w:rsidR="00D32563" w:rsidRPr="00881D18" w:rsidRDefault="00D32563" w:rsidP="00060542">
            <w:pPr>
              <w:jc w:val="center"/>
              <w:rPr>
                <w:b/>
                <w:sz w:val="22"/>
                <w:szCs w:val="22"/>
              </w:rPr>
            </w:pPr>
            <w:r w:rsidRPr="00881D18">
              <w:rPr>
                <w:b/>
                <w:sz w:val="22"/>
                <w:szCs w:val="22"/>
              </w:rPr>
              <w:t>3</w:t>
            </w:r>
          </w:p>
        </w:tc>
        <w:tc>
          <w:tcPr>
            <w:tcW w:w="1510" w:type="dxa"/>
            <w:shd w:val="clear" w:color="auto" w:fill="FFFF00"/>
            <w:vAlign w:val="center"/>
          </w:tcPr>
          <w:p w14:paraId="2971B100" w14:textId="77777777" w:rsidR="00D32563" w:rsidRPr="00881D18" w:rsidRDefault="00D32563" w:rsidP="00060542">
            <w:pPr>
              <w:jc w:val="center"/>
              <w:rPr>
                <w:b/>
                <w:sz w:val="22"/>
                <w:szCs w:val="22"/>
              </w:rPr>
            </w:pPr>
            <w:r w:rsidRPr="00881D18">
              <w:rPr>
                <w:b/>
                <w:sz w:val="22"/>
                <w:szCs w:val="22"/>
              </w:rPr>
              <w:t>6</w:t>
            </w:r>
          </w:p>
        </w:tc>
        <w:tc>
          <w:tcPr>
            <w:tcW w:w="1511" w:type="dxa"/>
            <w:shd w:val="clear" w:color="auto" w:fill="FF0000"/>
            <w:vAlign w:val="center"/>
          </w:tcPr>
          <w:p w14:paraId="09A00832" w14:textId="77777777" w:rsidR="00D32563" w:rsidRPr="00881D18" w:rsidRDefault="00D32563" w:rsidP="00060542">
            <w:pPr>
              <w:jc w:val="center"/>
              <w:rPr>
                <w:b/>
                <w:sz w:val="22"/>
                <w:szCs w:val="22"/>
              </w:rPr>
            </w:pPr>
            <w:r w:rsidRPr="00881D18">
              <w:rPr>
                <w:b/>
                <w:sz w:val="22"/>
                <w:szCs w:val="22"/>
              </w:rPr>
              <w:t>9</w:t>
            </w:r>
          </w:p>
        </w:tc>
        <w:tc>
          <w:tcPr>
            <w:tcW w:w="1511" w:type="dxa"/>
            <w:shd w:val="clear" w:color="auto" w:fill="FF0000"/>
            <w:vAlign w:val="center"/>
          </w:tcPr>
          <w:p w14:paraId="5B672CAC" w14:textId="77777777" w:rsidR="00D32563" w:rsidRPr="00881D18" w:rsidRDefault="00D32563" w:rsidP="00060542">
            <w:pPr>
              <w:jc w:val="center"/>
              <w:rPr>
                <w:b/>
                <w:sz w:val="22"/>
                <w:szCs w:val="22"/>
              </w:rPr>
            </w:pPr>
            <w:r w:rsidRPr="00881D18">
              <w:rPr>
                <w:b/>
                <w:sz w:val="22"/>
                <w:szCs w:val="22"/>
              </w:rPr>
              <w:t>12</w:t>
            </w:r>
          </w:p>
        </w:tc>
      </w:tr>
      <w:tr w:rsidR="00D32563" w:rsidRPr="00881D18" w14:paraId="66F5F3F3" w14:textId="77777777" w:rsidTr="00D32563">
        <w:trPr>
          <w:cantSplit/>
          <w:trHeight w:val="540"/>
          <w:jc w:val="center"/>
        </w:trPr>
        <w:tc>
          <w:tcPr>
            <w:tcW w:w="1510" w:type="dxa"/>
            <w:tcBorders>
              <w:bottom w:val="single" w:sz="4" w:space="0" w:color="auto"/>
            </w:tcBorders>
            <w:shd w:val="clear" w:color="auto" w:fill="9CC2E5" w:themeFill="accent1" w:themeFillTint="99"/>
            <w:vAlign w:val="center"/>
          </w:tcPr>
          <w:p w14:paraId="76EED2DD" w14:textId="77777777" w:rsidR="00D32563" w:rsidRPr="00881D18" w:rsidRDefault="00D32563" w:rsidP="00060542">
            <w:pPr>
              <w:jc w:val="center"/>
              <w:rPr>
                <w:b/>
                <w:sz w:val="22"/>
                <w:szCs w:val="22"/>
              </w:rPr>
            </w:pPr>
            <w:r w:rsidRPr="00881D18">
              <w:rPr>
                <w:b/>
                <w:sz w:val="22"/>
                <w:szCs w:val="22"/>
              </w:rPr>
              <w:t>malá</w:t>
            </w:r>
          </w:p>
        </w:tc>
        <w:tc>
          <w:tcPr>
            <w:tcW w:w="470" w:type="dxa"/>
            <w:tcBorders>
              <w:bottom w:val="single" w:sz="4" w:space="0" w:color="auto"/>
            </w:tcBorders>
            <w:shd w:val="clear" w:color="auto" w:fill="9CC2E5" w:themeFill="accent1" w:themeFillTint="99"/>
            <w:vAlign w:val="center"/>
          </w:tcPr>
          <w:p w14:paraId="431C6F4E" w14:textId="77777777" w:rsidR="00D32563" w:rsidRPr="00881D18" w:rsidRDefault="00D32563" w:rsidP="00060542">
            <w:pPr>
              <w:jc w:val="center"/>
              <w:rPr>
                <w:b/>
                <w:sz w:val="22"/>
                <w:szCs w:val="22"/>
              </w:rPr>
            </w:pPr>
            <w:r w:rsidRPr="00881D18">
              <w:rPr>
                <w:b/>
                <w:sz w:val="22"/>
                <w:szCs w:val="22"/>
              </w:rPr>
              <w:t>2</w:t>
            </w:r>
          </w:p>
        </w:tc>
        <w:tc>
          <w:tcPr>
            <w:tcW w:w="1510" w:type="dxa"/>
            <w:shd w:val="clear" w:color="auto" w:fill="70AD47" w:themeFill="accent6"/>
            <w:vAlign w:val="center"/>
          </w:tcPr>
          <w:p w14:paraId="34E6E977" w14:textId="77777777" w:rsidR="00D32563" w:rsidRPr="00881D18" w:rsidRDefault="00D32563" w:rsidP="00060542">
            <w:pPr>
              <w:jc w:val="center"/>
              <w:rPr>
                <w:b/>
                <w:sz w:val="22"/>
                <w:szCs w:val="22"/>
              </w:rPr>
            </w:pPr>
            <w:r w:rsidRPr="00881D18">
              <w:rPr>
                <w:b/>
                <w:sz w:val="22"/>
                <w:szCs w:val="22"/>
              </w:rPr>
              <w:t>2</w:t>
            </w:r>
          </w:p>
        </w:tc>
        <w:tc>
          <w:tcPr>
            <w:tcW w:w="1510" w:type="dxa"/>
            <w:shd w:val="clear" w:color="auto" w:fill="FFFF00"/>
            <w:vAlign w:val="center"/>
          </w:tcPr>
          <w:p w14:paraId="199743D0" w14:textId="77777777" w:rsidR="00D32563" w:rsidRPr="00881D18" w:rsidRDefault="00D32563" w:rsidP="00060542">
            <w:pPr>
              <w:jc w:val="center"/>
              <w:rPr>
                <w:b/>
                <w:sz w:val="22"/>
                <w:szCs w:val="22"/>
              </w:rPr>
            </w:pPr>
            <w:r w:rsidRPr="00881D18">
              <w:rPr>
                <w:b/>
                <w:sz w:val="22"/>
                <w:szCs w:val="22"/>
              </w:rPr>
              <w:t>4</w:t>
            </w:r>
          </w:p>
        </w:tc>
        <w:tc>
          <w:tcPr>
            <w:tcW w:w="1511" w:type="dxa"/>
            <w:shd w:val="clear" w:color="auto" w:fill="FFFF00"/>
            <w:vAlign w:val="center"/>
          </w:tcPr>
          <w:p w14:paraId="5B114446" w14:textId="77777777" w:rsidR="00D32563" w:rsidRPr="00881D18" w:rsidRDefault="00D32563" w:rsidP="00060542">
            <w:pPr>
              <w:jc w:val="center"/>
              <w:rPr>
                <w:b/>
                <w:sz w:val="22"/>
                <w:szCs w:val="22"/>
              </w:rPr>
            </w:pPr>
            <w:r w:rsidRPr="00881D18">
              <w:rPr>
                <w:b/>
                <w:sz w:val="22"/>
                <w:szCs w:val="22"/>
              </w:rPr>
              <w:t>6</w:t>
            </w:r>
          </w:p>
        </w:tc>
        <w:tc>
          <w:tcPr>
            <w:tcW w:w="1511" w:type="dxa"/>
            <w:shd w:val="clear" w:color="auto" w:fill="FF0000"/>
            <w:vAlign w:val="center"/>
          </w:tcPr>
          <w:p w14:paraId="407516BC" w14:textId="77777777" w:rsidR="00D32563" w:rsidRPr="00881D18" w:rsidRDefault="00D32563" w:rsidP="00060542">
            <w:pPr>
              <w:jc w:val="center"/>
              <w:rPr>
                <w:b/>
                <w:sz w:val="22"/>
                <w:szCs w:val="22"/>
              </w:rPr>
            </w:pPr>
            <w:r w:rsidRPr="00881D18">
              <w:rPr>
                <w:b/>
                <w:sz w:val="22"/>
                <w:szCs w:val="22"/>
              </w:rPr>
              <w:t>8</w:t>
            </w:r>
          </w:p>
        </w:tc>
      </w:tr>
      <w:tr w:rsidR="00D32563" w:rsidRPr="00881D18" w14:paraId="0EB129B5" w14:textId="77777777" w:rsidTr="00D32563">
        <w:trPr>
          <w:cantSplit/>
          <w:trHeight w:val="575"/>
          <w:jc w:val="center"/>
        </w:trPr>
        <w:tc>
          <w:tcPr>
            <w:tcW w:w="1510" w:type="dxa"/>
            <w:tcBorders>
              <w:bottom w:val="single" w:sz="4" w:space="0" w:color="auto"/>
            </w:tcBorders>
            <w:shd w:val="clear" w:color="auto" w:fill="2E74B5" w:themeFill="accent1" w:themeFillShade="BF"/>
            <w:vAlign w:val="center"/>
          </w:tcPr>
          <w:p w14:paraId="049CA053" w14:textId="6D88BA45" w:rsidR="00D32563" w:rsidRPr="00881D18" w:rsidRDefault="008A7BA8" w:rsidP="00060542">
            <w:pPr>
              <w:jc w:val="center"/>
              <w:rPr>
                <w:b/>
                <w:sz w:val="22"/>
                <w:szCs w:val="22"/>
              </w:rPr>
            </w:pPr>
            <w:r w:rsidRPr="00881D18">
              <w:rPr>
                <w:b/>
                <w:sz w:val="22"/>
                <w:szCs w:val="22"/>
              </w:rPr>
              <w:t>v</w:t>
            </w:r>
            <w:r w:rsidR="00D32563" w:rsidRPr="00881D18">
              <w:rPr>
                <w:b/>
                <w:sz w:val="22"/>
                <w:szCs w:val="22"/>
              </w:rPr>
              <w:t>eľmi malá</w:t>
            </w:r>
          </w:p>
        </w:tc>
        <w:tc>
          <w:tcPr>
            <w:tcW w:w="470" w:type="dxa"/>
            <w:tcBorders>
              <w:bottom w:val="single" w:sz="4" w:space="0" w:color="auto"/>
            </w:tcBorders>
            <w:shd w:val="clear" w:color="auto" w:fill="2E74B5" w:themeFill="accent1" w:themeFillShade="BF"/>
            <w:vAlign w:val="center"/>
          </w:tcPr>
          <w:p w14:paraId="07BF4AFA" w14:textId="77777777" w:rsidR="00D32563" w:rsidRPr="00881D18" w:rsidRDefault="00D32563" w:rsidP="00060542">
            <w:pPr>
              <w:jc w:val="center"/>
              <w:rPr>
                <w:b/>
                <w:sz w:val="22"/>
                <w:szCs w:val="22"/>
              </w:rPr>
            </w:pPr>
            <w:r w:rsidRPr="00881D18">
              <w:rPr>
                <w:b/>
                <w:sz w:val="22"/>
                <w:szCs w:val="22"/>
              </w:rPr>
              <w:t>1</w:t>
            </w:r>
          </w:p>
        </w:tc>
        <w:tc>
          <w:tcPr>
            <w:tcW w:w="1510" w:type="dxa"/>
            <w:tcBorders>
              <w:bottom w:val="single" w:sz="4" w:space="0" w:color="auto"/>
            </w:tcBorders>
            <w:shd w:val="clear" w:color="auto" w:fill="70AD47" w:themeFill="accent6"/>
            <w:vAlign w:val="center"/>
          </w:tcPr>
          <w:p w14:paraId="50ABFC7C" w14:textId="77777777" w:rsidR="00D32563" w:rsidRPr="00881D18" w:rsidRDefault="00D32563" w:rsidP="00060542">
            <w:pPr>
              <w:jc w:val="center"/>
              <w:rPr>
                <w:b/>
                <w:sz w:val="22"/>
                <w:szCs w:val="22"/>
              </w:rPr>
            </w:pPr>
            <w:r w:rsidRPr="00881D18">
              <w:rPr>
                <w:b/>
                <w:sz w:val="22"/>
                <w:szCs w:val="22"/>
              </w:rPr>
              <w:t>1</w:t>
            </w:r>
          </w:p>
        </w:tc>
        <w:tc>
          <w:tcPr>
            <w:tcW w:w="1510" w:type="dxa"/>
            <w:shd w:val="clear" w:color="auto" w:fill="70AD47" w:themeFill="accent6"/>
            <w:vAlign w:val="center"/>
          </w:tcPr>
          <w:p w14:paraId="71020C91" w14:textId="77777777" w:rsidR="00D32563" w:rsidRPr="00881D18" w:rsidRDefault="00D32563" w:rsidP="00060542">
            <w:pPr>
              <w:jc w:val="center"/>
              <w:rPr>
                <w:b/>
                <w:sz w:val="22"/>
                <w:szCs w:val="22"/>
              </w:rPr>
            </w:pPr>
            <w:r w:rsidRPr="00881D18">
              <w:rPr>
                <w:b/>
                <w:sz w:val="22"/>
                <w:szCs w:val="22"/>
              </w:rPr>
              <w:t>2</w:t>
            </w:r>
          </w:p>
        </w:tc>
        <w:tc>
          <w:tcPr>
            <w:tcW w:w="1511" w:type="dxa"/>
            <w:shd w:val="clear" w:color="auto" w:fill="70AD47" w:themeFill="accent6"/>
            <w:vAlign w:val="center"/>
          </w:tcPr>
          <w:p w14:paraId="76A9099D" w14:textId="77777777" w:rsidR="00D32563" w:rsidRPr="00881D18" w:rsidRDefault="00D32563" w:rsidP="00060542">
            <w:pPr>
              <w:jc w:val="center"/>
              <w:rPr>
                <w:b/>
                <w:sz w:val="22"/>
                <w:szCs w:val="22"/>
              </w:rPr>
            </w:pPr>
            <w:r w:rsidRPr="00881D18">
              <w:rPr>
                <w:b/>
                <w:sz w:val="22"/>
                <w:szCs w:val="22"/>
              </w:rPr>
              <w:t>3</w:t>
            </w:r>
          </w:p>
        </w:tc>
        <w:tc>
          <w:tcPr>
            <w:tcW w:w="1511" w:type="dxa"/>
            <w:shd w:val="clear" w:color="auto" w:fill="FFFF00"/>
            <w:vAlign w:val="center"/>
          </w:tcPr>
          <w:p w14:paraId="4DE2BE73" w14:textId="77777777" w:rsidR="00D32563" w:rsidRPr="00881D18" w:rsidRDefault="00D32563" w:rsidP="00060542">
            <w:pPr>
              <w:jc w:val="center"/>
              <w:rPr>
                <w:b/>
                <w:sz w:val="22"/>
                <w:szCs w:val="22"/>
              </w:rPr>
            </w:pPr>
            <w:r w:rsidRPr="00881D18">
              <w:rPr>
                <w:b/>
                <w:sz w:val="22"/>
                <w:szCs w:val="22"/>
              </w:rPr>
              <w:t>4</w:t>
            </w:r>
          </w:p>
        </w:tc>
      </w:tr>
      <w:tr w:rsidR="00D32563" w:rsidRPr="00881D18" w14:paraId="728030E8" w14:textId="77777777" w:rsidTr="00D32563">
        <w:trPr>
          <w:cantSplit/>
          <w:trHeight w:val="414"/>
          <w:jc w:val="center"/>
        </w:trPr>
        <w:tc>
          <w:tcPr>
            <w:tcW w:w="1510" w:type="dxa"/>
            <w:tcBorders>
              <w:top w:val="single" w:sz="4" w:space="0" w:color="auto"/>
              <w:left w:val="nil"/>
              <w:bottom w:val="nil"/>
              <w:right w:val="nil"/>
            </w:tcBorders>
            <w:textDirection w:val="btLr"/>
            <w:vAlign w:val="center"/>
          </w:tcPr>
          <w:p w14:paraId="3D99B5C2" w14:textId="77777777" w:rsidR="00D32563" w:rsidRPr="00881D18" w:rsidRDefault="00D32563" w:rsidP="00060542">
            <w:pPr>
              <w:ind w:left="113" w:right="113"/>
              <w:jc w:val="center"/>
              <w:rPr>
                <w:b/>
                <w:sz w:val="22"/>
                <w:szCs w:val="22"/>
              </w:rPr>
            </w:pPr>
          </w:p>
        </w:tc>
        <w:tc>
          <w:tcPr>
            <w:tcW w:w="470" w:type="dxa"/>
            <w:tcBorders>
              <w:top w:val="single" w:sz="4" w:space="0" w:color="auto"/>
              <w:left w:val="nil"/>
              <w:bottom w:val="nil"/>
              <w:right w:val="single" w:sz="4" w:space="0" w:color="auto"/>
            </w:tcBorders>
            <w:vAlign w:val="center"/>
          </w:tcPr>
          <w:p w14:paraId="4CDEA55F" w14:textId="77777777" w:rsidR="00D32563" w:rsidRPr="00881D18" w:rsidRDefault="00D32563" w:rsidP="00060542">
            <w:pPr>
              <w:jc w:val="center"/>
              <w:rPr>
                <w:b/>
                <w:sz w:val="22"/>
                <w:szCs w:val="22"/>
              </w:rPr>
            </w:pPr>
          </w:p>
        </w:tc>
        <w:tc>
          <w:tcPr>
            <w:tcW w:w="1510" w:type="dxa"/>
            <w:tcBorders>
              <w:left w:val="single" w:sz="4" w:space="0" w:color="auto"/>
            </w:tcBorders>
            <w:shd w:val="clear" w:color="auto" w:fill="FBE4D5" w:themeFill="accent2" w:themeFillTint="33"/>
            <w:vAlign w:val="center"/>
          </w:tcPr>
          <w:p w14:paraId="147B1BCF" w14:textId="77777777" w:rsidR="00D32563" w:rsidRPr="00881D18" w:rsidRDefault="00D32563" w:rsidP="00060542">
            <w:pPr>
              <w:jc w:val="center"/>
              <w:rPr>
                <w:b/>
                <w:sz w:val="22"/>
                <w:szCs w:val="22"/>
              </w:rPr>
            </w:pPr>
            <w:r w:rsidRPr="00881D18">
              <w:rPr>
                <w:b/>
                <w:sz w:val="22"/>
                <w:szCs w:val="22"/>
              </w:rPr>
              <w:t>1</w:t>
            </w:r>
          </w:p>
        </w:tc>
        <w:tc>
          <w:tcPr>
            <w:tcW w:w="1510" w:type="dxa"/>
            <w:shd w:val="clear" w:color="auto" w:fill="F7CAAC" w:themeFill="accent2" w:themeFillTint="66"/>
            <w:vAlign w:val="center"/>
          </w:tcPr>
          <w:p w14:paraId="51E6960F" w14:textId="77777777" w:rsidR="00D32563" w:rsidRPr="00881D18" w:rsidRDefault="00D32563" w:rsidP="00060542">
            <w:pPr>
              <w:jc w:val="center"/>
              <w:rPr>
                <w:b/>
                <w:sz w:val="22"/>
                <w:szCs w:val="22"/>
              </w:rPr>
            </w:pPr>
            <w:r w:rsidRPr="00881D18">
              <w:rPr>
                <w:b/>
                <w:sz w:val="22"/>
                <w:szCs w:val="22"/>
              </w:rPr>
              <w:t>2</w:t>
            </w:r>
          </w:p>
        </w:tc>
        <w:tc>
          <w:tcPr>
            <w:tcW w:w="1511" w:type="dxa"/>
            <w:shd w:val="clear" w:color="auto" w:fill="F4B083" w:themeFill="accent2" w:themeFillTint="99"/>
            <w:vAlign w:val="center"/>
          </w:tcPr>
          <w:p w14:paraId="1617B0B1" w14:textId="77777777" w:rsidR="00D32563" w:rsidRPr="00881D18" w:rsidRDefault="00D32563" w:rsidP="00060542">
            <w:pPr>
              <w:jc w:val="center"/>
              <w:rPr>
                <w:b/>
                <w:sz w:val="22"/>
                <w:szCs w:val="22"/>
              </w:rPr>
            </w:pPr>
            <w:r w:rsidRPr="00881D18">
              <w:rPr>
                <w:b/>
                <w:sz w:val="22"/>
                <w:szCs w:val="22"/>
              </w:rPr>
              <w:t>3</w:t>
            </w:r>
          </w:p>
        </w:tc>
        <w:tc>
          <w:tcPr>
            <w:tcW w:w="1511" w:type="dxa"/>
            <w:shd w:val="clear" w:color="auto" w:fill="C45911" w:themeFill="accent2" w:themeFillShade="BF"/>
            <w:vAlign w:val="center"/>
          </w:tcPr>
          <w:p w14:paraId="25E237B7" w14:textId="77777777" w:rsidR="00D32563" w:rsidRPr="00881D18" w:rsidRDefault="00D32563" w:rsidP="00060542">
            <w:pPr>
              <w:jc w:val="center"/>
              <w:rPr>
                <w:b/>
                <w:sz w:val="22"/>
                <w:szCs w:val="22"/>
              </w:rPr>
            </w:pPr>
            <w:r w:rsidRPr="00881D18">
              <w:rPr>
                <w:b/>
                <w:sz w:val="22"/>
                <w:szCs w:val="22"/>
              </w:rPr>
              <w:t>4</w:t>
            </w:r>
          </w:p>
        </w:tc>
      </w:tr>
      <w:tr w:rsidR="00D32563" w:rsidRPr="00881D18" w14:paraId="36398C07" w14:textId="77777777" w:rsidTr="00D32563">
        <w:trPr>
          <w:cantSplit/>
          <w:trHeight w:val="691"/>
          <w:jc w:val="center"/>
        </w:trPr>
        <w:tc>
          <w:tcPr>
            <w:tcW w:w="1510" w:type="dxa"/>
            <w:tcBorders>
              <w:top w:val="nil"/>
              <w:left w:val="nil"/>
              <w:bottom w:val="nil"/>
              <w:right w:val="nil"/>
            </w:tcBorders>
            <w:textDirection w:val="btLr"/>
            <w:vAlign w:val="center"/>
          </w:tcPr>
          <w:p w14:paraId="3AE134C9" w14:textId="77777777" w:rsidR="00D32563" w:rsidRPr="00881D18" w:rsidRDefault="00D32563" w:rsidP="00060542">
            <w:pPr>
              <w:ind w:left="113" w:right="113"/>
              <w:jc w:val="center"/>
              <w:rPr>
                <w:b/>
                <w:sz w:val="22"/>
                <w:szCs w:val="22"/>
              </w:rPr>
            </w:pPr>
          </w:p>
        </w:tc>
        <w:tc>
          <w:tcPr>
            <w:tcW w:w="470" w:type="dxa"/>
            <w:tcBorders>
              <w:top w:val="nil"/>
              <w:left w:val="nil"/>
              <w:bottom w:val="nil"/>
              <w:right w:val="single" w:sz="4" w:space="0" w:color="auto"/>
            </w:tcBorders>
            <w:vAlign w:val="center"/>
          </w:tcPr>
          <w:p w14:paraId="6CB2CA46" w14:textId="4ED97552" w:rsidR="00D32563" w:rsidRPr="00881D18" w:rsidRDefault="00D32563" w:rsidP="00060542">
            <w:pPr>
              <w:jc w:val="center"/>
              <w:rPr>
                <w:b/>
                <w:sz w:val="22"/>
                <w:szCs w:val="22"/>
              </w:rPr>
            </w:pPr>
            <w:r w:rsidRPr="00881D18">
              <w:rPr>
                <w:b/>
                <w:sz w:val="22"/>
                <w:szCs w:val="22"/>
              </w:rPr>
              <w:t>Dopad rizika</w:t>
            </w:r>
          </w:p>
        </w:tc>
        <w:tc>
          <w:tcPr>
            <w:tcW w:w="1510" w:type="dxa"/>
            <w:tcBorders>
              <w:left w:val="single" w:sz="4" w:space="0" w:color="auto"/>
            </w:tcBorders>
            <w:shd w:val="clear" w:color="auto" w:fill="FBE4D5" w:themeFill="accent2" w:themeFillTint="33"/>
            <w:vAlign w:val="center"/>
          </w:tcPr>
          <w:p w14:paraId="2206D5AB" w14:textId="5848054B" w:rsidR="00D32563" w:rsidRPr="00881D18" w:rsidRDefault="008A7BA8" w:rsidP="00060542">
            <w:pPr>
              <w:jc w:val="center"/>
              <w:rPr>
                <w:b/>
                <w:sz w:val="22"/>
                <w:szCs w:val="22"/>
              </w:rPr>
            </w:pPr>
            <w:r w:rsidRPr="00881D18">
              <w:rPr>
                <w:b/>
                <w:sz w:val="22"/>
                <w:szCs w:val="22"/>
              </w:rPr>
              <w:t>o</w:t>
            </w:r>
            <w:r w:rsidR="00D32563" w:rsidRPr="00881D18">
              <w:rPr>
                <w:b/>
                <w:sz w:val="22"/>
                <w:szCs w:val="22"/>
              </w:rPr>
              <w:t>bmedzený</w:t>
            </w:r>
          </w:p>
        </w:tc>
        <w:tc>
          <w:tcPr>
            <w:tcW w:w="1510" w:type="dxa"/>
            <w:shd w:val="clear" w:color="auto" w:fill="F7CAAC" w:themeFill="accent2" w:themeFillTint="66"/>
            <w:vAlign w:val="center"/>
          </w:tcPr>
          <w:p w14:paraId="7B3FCCDF" w14:textId="0FD69AEE" w:rsidR="00D32563" w:rsidRPr="00881D18" w:rsidRDefault="008A7BA8" w:rsidP="00060542">
            <w:pPr>
              <w:jc w:val="center"/>
              <w:rPr>
                <w:b/>
                <w:sz w:val="22"/>
                <w:szCs w:val="22"/>
              </w:rPr>
            </w:pPr>
            <w:r w:rsidRPr="00881D18">
              <w:rPr>
                <w:b/>
                <w:sz w:val="22"/>
                <w:szCs w:val="22"/>
              </w:rPr>
              <w:t>m</w:t>
            </w:r>
            <w:r w:rsidR="00D32563" w:rsidRPr="00881D18">
              <w:rPr>
                <w:b/>
                <w:sz w:val="22"/>
                <w:szCs w:val="22"/>
              </w:rPr>
              <w:t>alý</w:t>
            </w:r>
          </w:p>
        </w:tc>
        <w:tc>
          <w:tcPr>
            <w:tcW w:w="1511" w:type="dxa"/>
            <w:shd w:val="clear" w:color="auto" w:fill="F4B083" w:themeFill="accent2" w:themeFillTint="99"/>
            <w:vAlign w:val="center"/>
          </w:tcPr>
          <w:p w14:paraId="59A3795A" w14:textId="1B0C434F" w:rsidR="00D32563" w:rsidRPr="00881D18" w:rsidRDefault="008A7BA8" w:rsidP="00060542">
            <w:pPr>
              <w:jc w:val="center"/>
              <w:rPr>
                <w:b/>
                <w:sz w:val="22"/>
                <w:szCs w:val="22"/>
              </w:rPr>
            </w:pPr>
            <w:r w:rsidRPr="00881D18">
              <w:rPr>
                <w:b/>
                <w:sz w:val="22"/>
                <w:szCs w:val="22"/>
              </w:rPr>
              <w:t>v</w:t>
            </w:r>
            <w:r w:rsidR="00D32563" w:rsidRPr="00881D18">
              <w:rPr>
                <w:b/>
                <w:sz w:val="22"/>
                <w:szCs w:val="22"/>
              </w:rPr>
              <w:t>eľký</w:t>
            </w:r>
          </w:p>
        </w:tc>
        <w:tc>
          <w:tcPr>
            <w:tcW w:w="1511" w:type="dxa"/>
            <w:shd w:val="clear" w:color="auto" w:fill="C45911" w:themeFill="accent2" w:themeFillShade="BF"/>
            <w:vAlign w:val="center"/>
          </w:tcPr>
          <w:p w14:paraId="6F7352BA" w14:textId="3BD25C1A" w:rsidR="00D32563" w:rsidRPr="00881D18" w:rsidRDefault="008A7BA8" w:rsidP="00060542">
            <w:pPr>
              <w:jc w:val="center"/>
              <w:rPr>
                <w:b/>
                <w:sz w:val="22"/>
                <w:szCs w:val="22"/>
              </w:rPr>
            </w:pPr>
            <w:r w:rsidRPr="00881D18">
              <w:rPr>
                <w:b/>
                <w:sz w:val="22"/>
                <w:szCs w:val="22"/>
              </w:rPr>
              <w:t>v</w:t>
            </w:r>
            <w:r w:rsidR="00D32563" w:rsidRPr="00881D18">
              <w:rPr>
                <w:b/>
                <w:sz w:val="22"/>
                <w:szCs w:val="22"/>
              </w:rPr>
              <w:t>eľmi veľký</w:t>
            </w:r>
          </w:p>
        </w:tc>
      </w:tr>
    </w:tbl>
    <w:p w14:paraId="2D3997F5" w14:textId="2F952A81" w:rsidR="00383B50" w:rsidRPr="00881D18" w:rsidRDefault="00383B50" w:rsidP="00D32563">
      <w:pPr>
        <w:spacing w:line="276" w:lineRule="auto"/>
        <w:jc w:val="both"/>
        <w:rPr>
          <w:rFonts w:ascii="Times New Roman" w:hAnsi="Times New Roman"/>
          <w:noProof/>
          <w:sz w:val="22"/>
          <w:szCs w:val="22"/>
        </w:rPr>
      </w:pPr>
    </w:p>
    <w:p w14:paraId="2D3997F6" w14:textId="77777777" w:rsidR="00383B50" w:rsidRPr="00881D18" w:rsidRDefault="00383B50" w:rsidP="00C3571B">
      <w:pPr>
        <w:spacing w:before="120" w:after="120" w:line="276" w:lineRule="auto"/>
        <w:rPr>
          <w:rFonts w:ascii="Times New Roman" w:hAnsi="Times New Roman"/>
          <w:b/>
          <w:sz w:val="22"/>
          <w:szCs w:val="22"/>
          <w:u w:val="single"/>
          <w:lang w:val="fr-FR"/>
        </w:rPr>
      </w:pPr>
      <w:r w:rsidRPr="00881D18">
        <w:rPr>
          <w:rFonts w:ascii="Times New Roman" w:hAnsi="Times New Roman"/>
          <w:b/>
          <w:sz w:val="22"/>
          <w:szCs w:val="22"/>
          <w:u w:val="single"/>
          <w:lang w:val="fr-FR"/>
        </w:rPr>
        <w:t>Sú stanovené  3 oblasti / stupne / matice akceptovateľnosti rizík:</w:t>
      </w:r>
    </w:p>
    <w:p w14:paraId="2D3997F7" w14:textId="77777777" w:rsidR="00383B50" w:rsidRPr="00881D18" w:rsidRDefault="00383B50" w:rsidP="00C3571B">
      <w:pPr>
        <w:spacing w:before="120" w:after="120" w:line="276" w:lineRule="auto"/>
        <w:ind w:left="2124"/>
        <w:jc w:val="both"/>
        <w:rPr>
          <w:rFonts w:ascii="Times New Roman" w:hAnsi="Times New Roman"/>
          <w:sz w:val="22"/>
          <w:szCs w:val="22"/>
          <w:lang w:val="fr-FR"/>
        </w:rPr>
      </w:pPr>
      <w:r w:rsidRPr="008B3A21">
        <w:rPr>
          <w:rFonts w:ascii="Times New Roman" w:hAnsi="Times New Roman"/>
          <w:noProof/>
          <w:sz w:val="22"/>
          <w:szCs w:val="22"/>
        </w:rPr>
        <mc:AlternateContent>
          <mc:Choice Requires="wps">
            <w:drawing>
              <wp:anchor distT="0" distB="0" distL="114300" distR="114300" simplePos="0" relativeHeight="251654144" behindDoc="0" locked="0" layoutInCell="1" allowOverlap="1" wp14:anchorId="2D3998C7" wp14:editId="64848B85">
                <wp:simplePos x="0" y="0"/>
                <wp:positionH relativeFrom="column">
                  <wp:posOffset>549275</wp:posOffset>
                </wp:positionH>
                <wp:positionV relativeFrom="paragraph">
                  <wp:posOffset>55245</wp:posOffset>
                </wp:positionV>
                <wp:extent cx="704850" cy="257175"/>
                <wp:effectExtent l="0" t="0" r="19050" b="28575"/>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257175"/>
                        </a:xfrm>
                        <a:prstGeom prst="rect">
                          <a:avLst/>
                        </a:prstGeom>
                        <a:solidFill>
                          <a:schemeClr val="accent6"/>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61C8699" id="Obdĺžnik 13" o:spid="_x0000_s1026" style="position:absolute;margin-left:43.25pt;margin-top:4.35pt;width:55.5pt;height:20.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" fillcolor="#70ad47 [3209]" strokecolor="windowText" strokeweight="2pt">
                <v:path arrowok="t"/>
              </v:rect>
            </w:pict>
          </mc:Fallback>
        </mc:AlternateContent>
      </w:r>
      <w:r w:rsidRPr="00881D18">
        <w:rPr>
          <w:rFonts w:ascii="Times New Roman" w:hAnsi="Times New Roman"/>
          <w:b/>
          <w:sz w:val="22"/>
          <w:szCs w:val="22"/>
        </w:rPr>
        <w:t>Zelená</w:t>
      </w:r>
      <w:r w:rsidRPr="00881D18">
        <w:rPr>
          <w:rFonts w:ascii="Times New Roman" w:hAnsi="Times New Roman"/>
          <w:b/>
          <w:sz w:val="22"/>
          <w:szCs w:val="22"/>
          <w:lang w:val="fr-FR"/>
        </w:rPr>
        <w:t xml:space="preserve"> farba polí</w:t>
      </w:r>
      <w:r w:rsidRPr="00881D18">
        <w:rPr>
          <w:rFonts w:ascii="Times New Roman" w:hAnsi="Times New Roman"/>
          <w:sz w:val="22"/>
          <w:szCs w:val="22"/>
          <w:lang w:val="fr-FR"/>
        </w:rPr>
        <w:tab/>
        <w:t>= oblasť prijateľných rizík a implementácia interných administratívnych opatrení;</w:t>
      </w:r>
    </w:p>
    <w:p w14:paraId="2D3997F8" w14:textId="3F9EB238" w:rsidR="00383B50" w:rsidRPr="00881D18" w:rsidRDefault="00383B50" w:rsidP="00C3571B">
      <w:pPr>
        <w:spacing w:before="120" w:after="120" w:line="276" w:lineRule="auto"/>
        <w:ind w:left="2124" w:firstLine="12"/>
        <w:jc w:val="both"/>
        <w:rPr>
          <w:rFonts w:ascii="Times New Roman" w:hAnsi="Times New Roman"/>
          <w:sz w:val="22"/>
          <w:szCs w:val="22"/>
          <w:lang w:val="en-US"/>
        </w:rPr>
      </w:pPr>
      <w:r w:rsidRPr="008B3A21">
        <w:rPr>
          <w:rFonts w:ascii="Times New Roman" w:hAnsi="Times New Roman"/>
          <w:noProof/>
          <w:sz w:val="22"/>
          <w:szCs w:val="22"/>
        </w:rPr>
        <mc:AlternateContent>
          <mc:Choice Requires="wps">
            <w:drawing>
              <wp:anchor distT="0" distB="0" distL="114300" distR="114300" simplePos="0" relativeHeight="251660288" behindDoc="0" locked="0" layoutInCell="1" allowOverlap="1" wp14:anchorId="2D3998C9" wp14:editId="1D3A6AB9">
                <wp:simplePos x="0" y="0"/>
                <wp:positionH relativeFrom="column">
                  <wp:posOffset>548005</wp:posOffset>
                </wp:positionH>
                <wp:positionV relativeFrom="paragraph">
                  <wp:posOffset>30480</wp:posOffset>
                </wp:positionV>
                <wp:extent cx="704850" cy="257175"/>
                <wp:effectExtent l="0" t="0" r="19050" b="28575"/>
                <wp:wrapNone/>
                <wp:docPr id="18" name="Obdĺžnik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257175"/>
                        </a:xfrm>
                        <a:prstGeom prst="rect">
                          <a:avLst/>
                        </a:prstGeom>
                        <a:solidFill>
                          <a:srgbClr val="FFFF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39FFEA" id="Obdĺžnik 18" o:spid="_x0000_s1026" style="position:absolute;margin-left:43.15pt;margin-top:2.4pt;width:55.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" fillcolor="yellow" strokecolor="windowText" strokeweight="2pt">
                <v:path arrowok="t"/>
              </v:rect>
            </w:pict>
          </mc:Fallback>
        </mc:AlternateContent>
      </w:r>
      <w:r w:rsidRPr="00881D18">
        <w:rPr>
          <w:rFonts w:ascii="Times New Roman" w:hAnsi="Times New Roman"/>
          <w:b/>
          <w:sz w:val="22"/>
          <w:szCs w:val="22"/>
          <w:lang w:val="fr-FR"/>
        </w:rPr>
        <w:t xml:space="preserve">Žltá farba polí </w:t>
      </w:r>
      <w:r w:rsidRPr="00881D18">
        <w:rPr>
          <w:rFonts w:ascii="Times New Roman" w:hAnsi="Times New Roman"/>
          <w:sz w:val="22"/>
          <w:szCs w:val="22"/>
          <w:lang w:val="fr-FR"/>
        </w:rPr>
        <w:t xml:space="preserve">= oblasť významných rizík </w:t>
      </w:r>
      <w:r w:rsidRPr="00881D18">
        <w:rPr>
          <w:rFonts w:ascii="Times New Roman" w:hAnsi="Times New Roman"/>
          <w:sz w:val="22"/>
          <w:szCs w:val="22"/>
        </w:rPr>
        <w:t>s potrebou aplikácie doplňujúcich opatrení (v rámci tz</w:t>
      </w:r>
      <w:r w:rsidR="004E1EF1">
        <w:rPr>
          <w:rFonts w:ascii="Times New Roman" w:hAnsi="Times New Roman"/>
          <w:sz w:val="22"/>
          <w:szCs w:val="22"/>
        </w:rPr>
        <w:t>v. Akčného plánu) v existujúcom Systéme</w:t>
      </w:r>
      <w:r w:rsidRPr="00881D18">
        <w:rPr>
          <w:rFonts w:ascii="Times New Roman" w:hAnsi="Times New Roman"/>
          <w:sz w:val="22"/>
          <w:szCs w:val="22"/>
        </w:rPr>
        <w:t xml:space="preserve"> riadenia a kontroly</w:t>
      </w:r>
      <w:r w:rsidRPr="00881D18">
        <w:rPr>
          <w:rFonts w:ascii="Times New Roman" w:hAnsi="Times New Roman"/>
          <w:sz w:val="22"/>
          <w:szCs w:val="22"/>
          <w:lang w:val="en-US"/>
        </w:rPr>
        <w:t>;</w:t>
      </w:r>
    </w:p>
    <w:p w14:paraId="2D3997F9" w14:textId="2A41F2AE" w:rsidR="00383B50" w:rsidRDefault="00383B50" w:rsidP="00C3571B">
      <w:pPr>
        <w:spacing w:before="120" w:after="120" w:line="276" w:lineRule="auto"/>
        <w:ind w:left="2124" w:firstLine="12"/>
        <w:rPr>
          <w:rFonts w:ascii="Times New Roman" w:hAnsi="Times New Roman"/>
          <w:sz w:val="22"/>
          <w:szCs w:val="22"/>
        </w:rPr>
      </w:pPr>
      <w:r w:rsidRPr="008B3A21">
        <w:rPr>
          <w:rFonts w:ascii="Times New Roman" w:hAnsi="Times New Roman"/>
          <w:noProof/>
          <w:sz w:val="22"/>
          <w:szCs w:val="22"/>
        </w:rPr>
        <mc:AlternateContent>
          <mc:Choice Requires="wps">
            <w:drawing>
              <wp:anchor distT="0" distB="0" distL="114300" distR="114300" simplePos="0" relativeHeight="251666432" behindDoc="0" locked="0" layoutInCell="1" allowOverlap="1" wp14:anchorId="2D3998CB" wp14:editId="79A0ABC9">
                <wp:simplePos x="0" y="0"/>
                <wp:positionH relativeFrom="column">
                  <wp:posOffset>548005</wp:posOffset>
                </wp:positionH>
                <wp:positionV relativeFrom="paragraph">
                  <wp:posOffset>12700</wp:posOffset>
                </wp:positionV>
                <wp:extent cx="704850" cy="257175"/>
                <wp:effectExtent l="0" t="0" r="19050" b="28575"/>
                <wp:wrapNone/>
                <wp:docPr id="19" name="Obdĺžnik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257175"/>
                        </a:xfrm>
                        <a:prstGeom prst="rect">
                          <a:avLst/>
                        </a:prstGeom>
                        <a:solidFill>
                          <a:srgbClr val="FF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CDFE5B1" id="Obdĺžnik 19" o:spid="_x0000_s1026" style="position:absolute;margin-left:43.15pt;margin-top:1pt;width:55.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" fillcolor="red" strokecolor="windowText" strokeweight="2pt">
                <v:path arrowok="t"/>
              </v:rect>
            </w:pict>
          </mc:Fallback>
        </mc:AlternateContent>
      </w:r>
      <w:r w:rsidRPr="00881D18">
        <w:rPr>
          <w:rFonts w:ascii="Times New Roman" w:hAnsi="Times New Roman"/>
          <w:b/>
          <w:sz w:val="22"/>
          <w:szCs w:val="22"/>
        </w:rPr>
        <w:t xml:space="preserve">Červená farba polí </w:t>
      </w:r>
      <w:r w:rsidRPr="00881D18">
        <w:rPr>
          <w:rFonts w:ascii="Times New Roman" w:hAnsi="Times New Roman"/>
          <w:sz w:val="22"/>
          <w:szCs w:val="22"/>
        </w:rPr>
        <w:t>= oblasť neprijateľných (kritických) rizík, potreba implementácie systémových opatrení.</w:t>
      </w:r>
    </w:p>
    <w:p w14:paraId="3F07B6AE" w14:textId="77777777" w:rsidR="00C464D9" w:rsidRPr="00881D18" w:rsidRDefault="00C464D9" w:rsidP="00C3571B">
      <w:pPr>
        <w:spacing w:before="120" w:after="120" w:line="276" w:lineRule="auto"/>
        <w:ind w:left="2124" w:firstLine="12"/>
        <w:rPr>
          <w:rFonts w:ascii="Times New Roman" w:hAnsi="Times New Roman"/>
          <w:sz w:val="22"/>
          <w:szCs w:val="22"/>
        </w:rPr>
      </w:pPr>
    </w:p>
    <w:p w14:paraId="35E60AAD" w14:textId="0641C011" w:rsidR="008D64B4" w:rsidRPr="00450DEB" w:rsidRDefault="000F3E2A" w:rsidP="000F3E2A">
      <w:pPr>
        <w:pStyle w:val="Nadpis3"/>
        <w:spacing w:line="276" w:lineRule="auto"/>
        <w:ind w:left="0" w:firstLine="426"/>
        <w:rPr>
          <w:rStyle w:val="tl4Char"/>
          <w:color w:val="0070C0"/>
          <w:sz w:val="22"/>
          <w:szCs w:val="22"/>
          <w:lang w:val="sk-SK"/>
        </w:rPr>
      </w:pPr>
      <w:bookmarkStart w:id="23" w:name="_Toc45873730"/>
      <w:bookmarkStart w:id="24" w:name="_Toc420332618"/>
      <w:bookmarkStart w:id="25" w:name="_Toc97642163"/>
      <w:r w:rsidRPr="00450DEB">
        <w:rPr>
          <w:rFonts w:ascii="Times New Roman" w:hAnsi="Times New Roman"/>
          <w:b/>
          <w:bCs/>
          <w:color w:val="0070C0"/>
          <w:sz w:val="22"/>
          <w:szCs w:val="22"/>
          <w:lang w:val="sk-SK"/>
        </w:rPr>
        <w:t xml:space="preserve">5.3 </w:t>
      </w:r>
      <w:r w:rsidR="00383B50" w:rsidRPr="00450DEB">
        <w:rPr>
          <w:rStyle w:val="tl4Char"/>
          <w:color w:val="0070C0"/>
          <w:sz w:val="22"/>
          <w:szCs w:val="22"/>
          <w:lang w:val="sk-SK"/>
        </w:rPr>
        <w:t>D</w:t>
      </w:r>
      <w:r w:rsidR="008D64B4" w:rsidRPr="00450DEB">
        <w:rPr>
          <w:rStyle w:val="tl4Char"/>
          <w:color w:val="0070C0"/>
          <w:sz w:val="22"/>
          <w:szCs w:val="22"/>
          <w:lang w:val="sk-SK"/>
        </w:rPr>
        <w:t>EFINOVANIE EXISTUJÚCICH KONTROLNÝCH MECHANIZMOV</w:t>
      </w:r>
    </w:p>
    <w:bookmarkEnd w:id="23"/>
    <w:bookmarkEnd w:id="24"/>
    <w:bookmarkEnd w:id="25"/>
    <w:p w14:paraId="2D3997FB" w14:textId="7618F3EE" w:rsidR="00383B50" w:rsidRPr="002E4DF1" w:rsidRDefault="00383B50" w:rsidP="00C3571B">
      <w:pPr>
        <w:pStyle w:val="Odsekzoznamu"/>
        <w:spacing w:line="276" w:lineRule="auto"/>
        <w:ind w:left="0"/>
        <w:jc w:val="both"/>
        <w:rPr>
          <w:rFonts w:ascii="Times New Roman" w:hAnsi="Times New Roman" w:cs="Times New Roman"/>
          <w:sz w:val="22"/>
        </w:rPr>
      </w:pPr>
      <w:r w:rsidRPr="002E4DF1">
        <w:rPr>
          <w:rFonts w:ascii="Times New Roman" w:hAnsi="Times New Roman" w:cs="Times New Roman"/>
          <w:sz w:val="22"/>
        </w:rPr>
        <w:t>V tejto fáze riadeni</w:t>
      </w:r>
      <w:r w:rsidR="003007C6" w:rsidRPr="002E4DF1">
        <w:rPr>
          <w:rFonts w:ascii="Times New Roman" w:hAnsi="Times New Roman" w:cs="Times New Roman"/>
          <w:sz w:val="22"/>
        </w:rPr>
        <w:t xml:space="preserve">a rizík členovia </w:t>
      </w:r>
      <w:r w:rsidR="003007C6" w:rsidRPr="002E4DF1">
        <w:rPr>
          <w:rFonts w:ascii="Times New Roman" w:hAnsi="Times New Roman"/>
          <w:sz w:val="22"/>
        </w:rPr>
        <w:t>tímu</w:t>
      </w:r>
      <w:r w:rsidR="007C5030" w:rsidRPr="002E4DF1">
        <w:rPr>
          <w:rFonts w:ascii="Times New Roman" w:hAnsi="Times New Roman"/>
          <w:sz w:val="22"/>
        </w:rPr>
        <w:t xml:space="preserve"> </w:t>
      </w:r>
      <w:r w:rsidR="007C26A5">
        <w:rPr>
          <w:rFonts w:ascii="Times New Roman" w:hAnsi="Times New Roman"/>
          <w:sz w:val="22"/>
        </w:rPr>
        <w:t xml:space="preserve">pre riadenie </w:t>
      </w:r>
      <w:r w:rsidR="007C5030" w:rsidRPr="002E4DF1">
        <w:rPr>
          <w:rFonts w:ascii="Times New Roman" w:hAnsi="Times New Roman"/>
          <w:sz w:val="22"/>
        </w:rPr>
        <w:t>rizík podvodov</w:t>
      </w:r>
      <w:r w:rsidR="000E40E4" w:rsidRPr="002E4DF1">
        <w:rPr>
          <w:rFonts w:ascii="Times New Roman" w:hAnsi="Times New Roman" w:cs="Times New Roman"/>
          <w:sz w:val="22"/>
        </w:rPr>
        <w:t xml:space="preserve"> priradia rizikám uvedeným v</w:t>
      </w:r>
      <w:r w:rsidR="00A30CBC" w:rsidRPr="002E4DF1">
        <w:rPr>
          <w:rFonts w:ascii="Times New Roman" w:hAnsi="Times New Roman" w:cs="Times New Roman"/>
          <w:sz w:val="22"/>
        </w:rPr>
        <w:t> </w:t>
      </w:r>
      <w:r w:rsidR="000E40E4" w:rsidRPr="002E4DF1">
        <w:rPr>
          <w:rFonts w:ascii="Times New Roman" w:hAnsi="Times New Roman" w:cs="Times New Roman"/>
          <w:sz w:val="22"/>
        </w:rPr>
        <w:t>zozname</w:t>
      </w:r>
      <w:r w:rsidR="003007C6" w:rsidRPr="002E4DF1">
        <w:rPr>
          <w:rFonts w:ascii="Times New Roman" w:hAnsi="Times New Roman" w:cs="Times New Roman"/>
          <w:sz w:val="22"/>
        </w:rPr>
        <w:t xml:space="preserve"> rizík podvod</w:t>
      </w:r>
      <w:r w:rsidR="00A30CBC" w:rsidRPr="002E4DF1">
        <w:rPr>
          <w:rFonts w:ascii="Times New Roman" w:hAnsi="Times New Roman" w:cs="Times New Roman"/>
          <w:sz w:val="22"/>
        </w:rPr>
        <w:t>ov</w:t>
      </w:r>
      <w:r w:rsidRPr="002E4DF1">
        <w:rPr>
          <w:rFonts w:ascii="Times New Roman" w:hAnsi="Times New Roman" w:cs="Times New Roman"/>
          <w:sz w:val="22"/>
        </w:rPr>
        <w:t xml:space="preserve"> existujúce kontrolné mechanizmy </w:t>
      </w:r>
      <w:r w:rsidR="008041D7" w:rsidRPr="002E4DF1">
        <w:rPr>
          <w:rFonts w:ascii="Times New Roman" w:hAnsi="Times New Roman" w:cs="Times New Roman"/>
          <w:sz w:val="22"/>
        </w:rPr>
        <w:t>navrhnuté v procedúrach tohto Usmernenia</w:t>
      </w:r>
      <w:r w:rsidRPr="002E4DF1">
        <w:rPr>
          <w:rFonts w:ascii="Times New Roman" w:hAnsi="Times New Roman" w:cs="Times New Roman"/>
          <w:sz w:val="22"/>
        </w:rPr>
        <w:t xml:space="preserve"> alebo navrhnú existujúce nástroje na elimináciu rizík. </w:t>
      </w:r>
    </w:p>
    <w:p w14:paraId="2D3997FC" w14:textId="77777777" w:rsidR="00383B50" w:rsidRPr="002E4DF1" w:rsidRDefault="00383B50" w:rsidP="00C3571B">
      <w:pPr>
        <w:pStyle w:val="Odsekzoznamu"/>
        <w:spacing w:line="276" w:lineRule="auto"/>
        <w:ind w:left="0"/>
        <w:jc w:val="both"/>
        <w:rPr>
          <w:rFonts w:ascii="Times New Roman" w:hAnsi="Times New Roman" w:cs="Times New Roman"/>
          <w:sz w:val="22"/>
        </w:rPr>
      </w:pPr>
    </w:p>
    <w:p w14:paraId="2D3997FD" w14:textId="387988DF" w:rsidR="00383B50" w:rsidRPr="002E4DF1" w:rsidRDefault="00383B50" w:rsidP="00C3571B">
      <w:pPr>
        <w:pStyle w:val="Odsekzoznamu"/>
        <w:spacing w:line="276" w:lineRule="auto"/>
        <w:ind w:left="0"/>
        <w:jc w:val="both"/>
        <w:rPr>
          <w:rFonts w:ascii="Times New Roman" w:hAnsi="Times New Roman" w:cs="Times New Roman"/>
          <w:sz w:val="22"/>
        </w:rPr>
      </w:pPr>
      <w:r w:rsidRPr="002E4DF1">
        <w:rPr>
          <w:rFonts w:ascii="Times New Roman" w:hAnsi="Times New Roman" w:cs="Times New Roman"/>
          <w:sz w:val="22"/>
        </w:rPr>
        <w:t>Vhodnosť a účinnosť existujúcich kontrolných mechanizmov bude priebežne overov</w:t>
      </w:r>
      <w:r w:rsidR="008041D7" w:rsidRPr="002E4DF1">
        <w:rPr>
          <w:rFonts w:ascii="Times New Roman" w:hAnsi="Times New Roman" w:cs="Times New Roman"/>
          <w:sz w:val="22"/>
        </w:rPr>
        <w:t>aná v rámci implementácie</w:t>
      </w:r>
      <w:r w:rsidRPr="002E4DF1">
        <w:rPr>
          <w:rFonts w:ascii="Times New Roman" w:hAnsi="Times New Roman" w:cs="Times New Roman"/>
          <w:sz w:val="22"/>
        </w:rPr>
        <w:t xml:space="preserve">. </w:t>
      </w:r>
    </w:p>
    <w:p w14:paraId="2D3997FE" w14:textId="77777777" w:rsidR="00383B50" w:rsidRPr="002E4DF1" w:rsidRDefault="00383B50" w:rsidP="00C3571B">
      <w:pPr>
        <w:pStyle w:val="Odsekzoznamu"/>
        <w:spacing w:line="276" w:lineRule="auto"/>
        <w:ind w:left="0"/>
        <w:jc w:val="both"/>
        <w:rPr>
          <w:rFonts w:ascii="Times New Roman" w:hAnsi="Times New Roman" w:cs="Times New Roman"/>
          <w:sz w:val="22"/>
        </w:rPr>
      </w:pPr>
    </w:p>
    <w:p w14:paraId="2D3997FF" w14:textId="5BB750F3" w:rsidR="00383B50" w:rsidRPr="00414E28" w:rsidRDefault="00383B50" w:rsidP="00C3571B">
      <w:pPr>
        <w:pStyle w:val="Odsekzoznamu"/>
        <w:spacing w:line="276" w:lineRule="auto"/>
        <w:ind w:left="0"/>
        <w:jc w:val="both"/>
        <w:rPr>
          <w:rFonts w:ascii="Times New Roman" w:hAnsi="Times New Roman" w:cs="Times New Roman"/>
          <w:sz w:val="22"/>
        </w:rPr>
      </w:pPr>
      <w:r w:rsidRPr="002E4DF1">
        <w:rPr>
          <w:rFonts w:ascii="Times New Roman" w:hAnsi="Times New Roman" w:cs="Times New Roman"/>
          <w:sz w:val="22"/>
        </w:rPr>
        <w:t xml:space="preserve">Kontrola zameraná na prevenciu a odhaľovanie podvodov, je súčasťou existujúcich kontrolných </w:t>
      </w:r>
      <w:r w:rsidRPr="00414E28">
        <w:rPr>
          <w:rFonts w:ascii="Times New Roman" w:hAnsi="Times New Roman" w:cs="Times New Roman"/>
          <w:sz w:val="22"/>
        </w:rPr>
        <w:t xml:space="preserve">mechanizmov a zásadné postupy </w:t>
      </w:r>
      <w:r w:rsidR="000E40E4" w:rsidRPr="00414E28">
        <w:rPr>
          <w:rFonts w:ascii="Times New Roman" w:hAnsi="Times New Roman" w:cs="Times New Roman"/>
          <w:sz w:val="22"/>
        </w:rPr>
        <w:t>pre ich prevenciu sú uvedené v</w:t>
      </w:r>
      <w:r w:rsidR="00A30CBC" w:rsidRPr="00414E28">
        <w:rPr>
          <w:rFonts w:ascii="Times New Roman" w:hAnsi="Times New Roman" w:cs="Times New Roman"/>
          <w:sz w:val="22"/>
        </w:rPr>
        <w:t> </w:t>
      </w:r>
      <w:r w:rsidR="000E40E4" w:rsidRPr="00414E28">
        <w:rPr>
          <w:rFonts w:ascii="Times New Roman" w:hAnsi="Times New Roman" w:cs="Times New Roman"/>
          <w:sz w:val="22"/>
        </w:rPr>
        <w:t>z</w:t>
      </w:r>
      <w:r w:rsidRPr="00414E28">
        <w:rPr>
          <w:rFonts w:ascii="Times New Roman" w:hAnsi="Times New Roman" w:cs="Times New Roman"/>
          <w:sz w:val="22"/>
        </w:rPr>
        <w:t>ozname</w:t>
      </w:r>
      <w:r w:rsidR="00A30CBC" w:rsidRPr="00414E28">
        <w:rPr>
          <w:rFonts w:ascii="Times New Roman" w:hAnsi="Times New Roman" w:cs="Times New Roman"/>
          <w:sz w:val="22"/>
        </w:rPr>
        <w:t xml:space="preserve"> rizík podvodov</w:t>
      </w:r>
      <w:r w:rsidRPr="00414E28">
        <w:rPr>
          <w:rFonts w:ascii="Times New Roman" w:hAnsi="Times New Roman" w:cs="Times New Roman"/>
          <w:sz w:val="22"/>
        </w:rPr>
        <w:t>.</w:t>
      </w:r>
    </w:p>
    <w:p w14:paraId="2D399800" w14:textId="77777777" w:rsidR="00383B50" w:rsidRPr="00414E28" w:rsidRDefault="00383B50" w:rsidP="00C3571B">
      <w:pPr>
        <w:pStyle w:val="Odsekzoznamu"/>
        <w:spacing w:line="276" w:lineRule="auto"/>
        <w:ind w:left="0"/>
        <w:jc w:val="both"/>
        <w:rPr>
          <w:rFonts w:ascii="Times New Roman" w:hAnsi="Times New Roman" w:cs="Times New Roman"/>
          <w:sz w:val="22"/>
        </w:rPr>
      </w:pPr>
    </w:p>
    <w:p w14:paraId="2D399801" w14:textId="77777777" w:rsidR="00383B50" w:rsidRPr="00414E28" w:rsidRDefault="00383B50" w:rsidP="00C3571B">
      <w:pPr>
        <w:pStyle w:val="Odsekzoznamu"/>
        <w:spacing w:line="276" w:lineRule="auto"/>
        <w:ind w:left="0"/>
        <w:jc w:val="both"/>
        <w:rPr>
          <w:rFonts w:ascii="Times New Roman" w:hAnsi="Times New Roman" w:cs="Times New Roman"/>
          <w:sz w:val="22"/>
        </w:rPr>
      </w:pPr>
      <w:r w:rsidRPr="00414E28">
        <w:rPr>
          <w:rFonts w:ascii="Times New Roman" w:hAnsi="Times New Roman" w:cs="Times New Roman"/>
          <w:sz w:val="22"/>
        </w:rPr>
        <w:t>Ak existujúce kontrolné mechanizmy vedú k zníženiu celkovej miery rizík na akceptovateľnú úroveň, je možné ich považovať za dostatočné a nie je potrebné navrhovať nové opatrenia na elimináciu identifikovaných rizík.</w:t>
      </w:r>
    </w:p>
    <w:p w14:paraId="2D399802" w14:textId="77777777" w:rsidR="00383B50" w:rsidRPr="00414E28" w:rsidRDefault="00383B50" w:rsidP="00C3571B">
      <w:pPr>
        <w:pStyle w:val="Odsekzoznamu"/>
        <w:spacing w:line="276" w:lineRule="auto"/>
        <w:ind w:left="0"/>
        <w:jc w:val="both"/>
        <w:rPr>
          <w:rFonts w:ascii="Times New Roman" w:hAnsi="Times New Roman" w:cs="Times New Roman"/>
          <w:sz w:val="22"/>
        </w:rPr>
      </w:pPr>
    </w:p>
    <w:p w14:paraId="2D399803" w14:textId="62B7ADE5" w:rsidR="00383B50" w:rsidRPr="00414E28" w:rsidRDefault="00383B50" w:rsidP="00C3571B">
      <w:pPr>
        <w:pStyle w:val="Odsekzoznamu"/>
        <w:spacing w:line="276" w:lineRule="auto"/>
        <w:ind w:left="0"/>
        <w:jc w:val="both"/>
        <w:rPr>
          <w:rFonts w:ascii="Times New Roman" w:hAnsi="Times New Roman" w:cs="Times New Roman"/>
          <w:sz w:val="22"/>
        </w:rPr>
      </w:pPr>
      <w:r w:rsidRPr="00414E28">
        <w:rPr>
          <w:rFonts w:ascii="Times New Roman" w:hAnsi="Times New Roman" w:cs="Times New Roman"/>
          <w:sz w:val="22"/>
        </w:rPr>
        <w:t>Ak sú identifikované nedostatky v existujúcich kontrolných mechanizmoch, t.j. existujúce kontrolné mechanizmy nevedú k zníženiu celkovej miery rizík na akceptovat</w:t>
      </w:r>
      <w:r w:rsidR="008041D7" w:rsidRPr="00414E28">
        <w:rPr>
          <w:rFonts w:ascii="Times New Roman" w:hAnsi="Times New Roman" w:cs="Times New Roman"/>
          <w:sz w:val="22"/>
        </w:rPr>
        <w:t>eľnú úroveň, j</w:t>
      </w:r>
      <w:r w:rsidR="003007C6" w:rsidRPr="00414E28">
        <w:rPr>
          <w:rFonts w:ascii="Times New Roman" w:hAnsi="Times New Roman" w:cs="Times New Roman"/>
          <w:sz w:val="22"/>
        </w:rPr>
        <w:t xml:space="preserve">e potrebné, aby </w:t>
      </w:r>
      <w:r w:rsidR="003007C6" w:rsidRPr="00414E28">
        <w:rPr>
          <w:rFonts w:ascii="Times New Roman" w:hAnsi="Times New Roman"/>
          <w:sz w:val="22"/>
        </w:rPr>
        <w:t>t</w:t>
      </w:r>
      <w:r w:rsidR="00041C37" w:rsidRPr="00414E28">
        <w:rPr>
          <w:rFonts w:ascii="Times New Roman" w:hAnsi="Times New Roman"/>
          <w:sz w:val="22"/>
        </w:rPr>
        <w:t xml:space="preserve">ím </w:t>
      </w:r>
      <w:r w:rsidR="007C26A5">
        <w:rPr>
          <w:rFonts w:ascii="Times New Roman" w:hAnsi="Times New Roman"/>
          <w:sz w:val="22"/>
        </w:rPr>
        <w:t xml:space="preserve">pre riadenie </w:t>
      </w:r>
      <w:r w:rsidR="00041C37" w:rsidRPr="00414E28">
        <w:rPr>
          <w:rFonts w:ascii="Times New Roman" w:hAnsi="Times New Roman"/>
          <w:sz w:val="22"/>
        </w:rPr>
        <w:t>rizík podvodov</w:t>
      </w:r>
      <w:r w:rsidR="003007C6" w:rsidRPr="00414E28">
        <w:rPr>
          <w:rFonts w:ascii="Times New Roman" w:hAnsi="Times New Roman" w:cs="Times New Roman"/>
          <w:sz w:val="22"/>
        </w:rPr>
        <w:t xml:space="preserve"> prerokoval</w:t>
      </w:r>
      <w:r w:rsidRPr="00414E28">
        <w:rPr>
          <w:rFonts w:ascii="Times New Roman" w:hAnsi="Times New Roman" w:cs="Times New Roman"/>
          <w:sz w:val="22"/>
        </w:rPr>
        <w:t xml:space="preserve"> nové opatrenia na elimináciu rizík (relevantné najskôr v druhom roku hodnotenia rizík, a len v prípade realizácie príslušnej procesnej oblasti, v rámci ktorej bolo riziko identifikované).</w:t>
      </w:r>
    </w:p>
    <w:p w14:paraId="6B41914F" w14:textId="6B9E4A8D" w:rsidR="002C0353" w:rsidRPr="00450DEB" w:rsidRDefault="000F3E2A" w:rsidP="000F3E2A">
      <w:pPr>
        <w:pStyle w:val="Nadpis3"/>
        <w:spacing w:line="276" w:lineRule="auto"/>
        <w:ind w:left="0" w:firstLine="426"/>
        <w:rPr>
          <w:rStyle w:val="tl4Char"/>
          <w:color w:val="0070C0"/>
          <w:sz w:val="22"/>
          <w:szCs w:val="22"/>
          <w:lang w:val="sk-SK"/>
        </w:rPr>
      </w:pPr>
      <w:bookmarkStart w:id="26" w:name="_Toc45873731"/>
      <w:bookmarkStart w:id="27" w:name="_Toc420332619"/>
      <w:bookmarkStart w:id="28" w:name="_Toc97642164"/>
      <w:r w:rsidRPr="00450DEB">
        <w:rPr>
          <w:rFonts w:ascii="Times New Roman" w:hAnsi="Times New Roman"/>
          <w:b/>
          <w:bCs/>
          <w:color w:val="0070C0"/>
          <w:sz w:val="22"/>
          <w:szCs w:val="22"/>
          <w:lang w:val="sk-SK"/>
        </w:rPr>
        <w:t xml:space="preserve">5.4 </w:t>
      </w:r>
      <w:r w:rsidR="00383B50" w:rsidRPr="00450DEB">
        <w:rPr>
          <w:rStyle w:val="tl4Char"/>
          <w:color w:val="0070C0"/>
          <w:sz w:val="22"/>
          <w:szCs w:val="22"/>
          <w:lang w:val="sk-SK"/>
        </w:rPr>
        <w:t>N</w:t>
      </w:r>
      <w:r w:rsidR="002C0353" w:rsidRPr="00450DEB">
        <w:rPr>
          <w:rStyle w:val="tl4Char"/>
          <w:color w:val="0070C0"/>
          <w:sz w:val="22"/>
          <w:szCs w:val="22"/>
          <w:lang w:val="sk-SK"/>
        </w:rPr>
        <w:t>AVRHNUTIE OPATRENÍ A TERMÍNOV</w:t>
      </w:r>
    </w:p>
    <w:bookmarkEnd w:id="26"/>
    <w:bookmarkEnd w:id="27"/>
    <w:bookmarkEnd w:id="28"/>
    <w:p w14:paraId="2D399805" w14:textId="0A41B5FE" w:rsidR="00383B50" w:rsidRPr="00497494" w:rsidRDefault="00383B50" w:rsidP="00C3571B">
      <w:pPr>
        <w:pStyle w:val="Odsekzoznamu"/>
        <w:spacing w:after="240" w:line="276" w:lineRule="auto"/>
        <w:ind w:left="0"/>
        <w:jc w:val="both"/>
        <w:rPr>
          <w:rFonts w:ascii="Times New Roman" w:hAnsi="Times New Roman" w:cs="Times New Roman"/>
          <w:sz w:val="22"/>
        </w:rPr>
      </w:pPr>
      <w:r w:rsidRPr="00497494">
        <w:rPr>
          <w:rFonts w:ascii="Times New Roman" w:hAnsi="Times New Roman" w:cs="Times New Roman"/>
          <w:sz w:val="22"/>
        </w:rPr>
        <w:t xml:space="preserve">V prípade potvrdenia nedostatočnosti existujúcich kontrolných mechanizmov (vhodnosti a účinnosti) </w:t>
      </w:r>
      <w:r w:rsidR="002D1507" w:rsidRPr="00497494">
        <w:rPr>
          <w:rFonts w:ascii="Times New Roman" w:hAnsi="Times New Roman" w:cs="Times New Roman"/>
          <w:sz w:val="22"/>
        </w:rPr>
        <w:t xml:space="preserve">je </w:t>
      </w:r>
      <w:r w:rsidRPr="00497494">
        <w:rPr>
          <w:rFonts w:ascii="Times New Roman" w:hAnsi="Times New Roman" w:cs="Times New Roman"/>
          <w:sz w:val="22"/>
        </w:rPr>
        <w:t>potrebné navrhnúť a prijať opatrenia vo forme zlepšenia systému</w:t>
      </w:r>
      <w:r w:rsidR="00E44884" w:rsidRPr="00497494">
        <w:rPr>
          <w:rFonts w:ascii="Times New Roman" w:hAnsi="Times New Roman" w:cs="Times New Roman"/>
          <w:sz w:val="22"/>
        </w:rPr>
        <w:t xml:space="preserve"> riadenia a kontroly</w:t>
      </w:r>
      <w:r w:rsidRPr="00497494">
        <w:rPr>
          <w:rFonts w:ascii="Times New Roman" w:hAnsi="Times New Roman" w:cs="Times New Roman"/>
          <w:sz w:val="22"/>
        </w:rPr>
        <w:t xml:space="preserve">. </w:t>
      </w:r>
    </w:p>
    <w:p w14:paraId="2D399806" w14:textId="77777777" w:rsidR="00383B50" w:rsidRPr="00450DEB" w:rsidRDefault="00383B50" w:rsidP="00C3571B">
      <w:pPr>
        <w:pStyle w:val="Odsekzoznamu"/>
        <w:spacing w:before="240" w:after="240" w:line="276" w:lineRule="auto"/>
        <w:ind w:left="0"/>
        <w:jc w:val="both"/>
        <w:rPr>
          <w:rFonts w:ascii="Times New Roman" w:hAnsi="Times New Roman" w:cs="Times New Roman"/>
          <w:sz w:val="22"/>
          <w:highlight w:val="yellow"/>
        </w:rPr>
      </w:pPr>
    </w:p>
    <w:p w14:paraId="2D399807" w14:textId="31491FD0" w:rsidR="00383B50" w:rsidRPr="00497494" w:rsidRDefault="00383B50" w:rsidP="00C3571B">
      <w:pPr>
        <w:pStyle w:val="Odsekzoznamu"/>
        <w:spacing w:line="276" w:lineRule="auto"/>
        <w:ind w:left="0"/>
        <w:jc w:val="both"/>
        <w:rPr>
          <w:rFonts w:ascii="Times New Roman" w:hAnsi="Times New Roman" w:cs="Times New Roman"/>
          <w:sz w:val="22"/>
        </w:rPr>
      </w:pPr>
      <w:r w:rsidRPr="00497494">
        <w:rPr>
          <w:rFonts w:ascii="Times New Roman" w:hAnsi="Times New Roman" w:cs="Times New Roman"/>
          <w:sz w:val="22"/>
        </w:rPr>
        <w:t>Navrhovanie opatrení vrátane zodpovednosti a termínu na ich prijatie je</w:t>
      </w:r>
      <w:r w:rsidR="003007C6" w:rsidRPr="00497494">
        <w:rPr>
          <w:rFonts w:ascii="Times New Roman" w:hAnsi="Times New Roman" w:cs="Times New Roman"/>
          <w:sz w:val="22"/>
        </w:rPr>
        <w:t xml:space="preserve"> v kompetencii </w:t>
      </w:r>
      <w:r w:rsidR="003007C6" w:rsidRPr="00497494">
        <w:rPr>
          <w:rFonts w:ascii="Times New Roman" w:hAnsi="Times New Roman"/>
          <w:sz w:val="22"/>
        </w:rPr>
        <w:t>tímu</w:t>
      </w:r>
      <w:r w:rsidR="00041C37" w:rsidRPr="00497494">
        <w:rPr>
          <w:rFonts w:ascii="Times New Roman" w:hAnsi="Times New Roman"/>
          <w:sz w:val="22"/>
        </w:rPr>
        <w:t xml:space="preserve"> </w:t>
      </w:r>
      <w:r w:rsidR="0044469D">
        <w:rPr>
          <w:rFonts w:ascii="Times New Roman" w:hAnsi="Times New Roman"/>
          <w:sz w:val="22"/>
        </w:rPr>
        <w:t xml:space="preserve">pre riadenie </w:t>
      </w:r>
      <w:r w:rsidR="00041C37" w:rsidRPr="00497494">
        <w:rPr>
          <w:rFonts w:ascii="Times New Roman" w:hAnsi="Times New Roman"/>
          <w:sz w:val="22"/>
        </w:rPr>
        <w:t>rizík podvodov</w:t>
      </w:r>
      <w:r w:rsidRPr="00497494">
        <w:rPr>
          <w:rFonts w:ascii="Times New Roman" w:hAnsi="Times New Roman" w:cs="Times New Roman"/>
          <w:sz w:val="22"/>
        </w:rPr>
        <w:t>. Pri navrhovaní opa</w:t>
      </w:r>
      <w:r w:rsidR="003007C6" w:rsidRPr="00497494">
        <w:rPr>
          <w:rFonts w:ascii="Times New Roman" w:hAnsi="Times New Roman" w:cs="Times New Roman"/>
          <w:sz w:val="22"/>
        </w:rPr>
        <w:t xml:space="preserve">trení členovia </w:t>
      </w:r>
      <w:r w:rsidR="003007C6" w:rsidRPr="00497494">
        <w:rPr>
          <w:rFonts w:ascii="Times New Roman" w:hAnsi="Times New Roman"/>
          <w:sz w:val="22"/>
        </w:rPr>
        <w:t>tímu</w:t>
      </w:r>
      <w:r w:rsidR="00041C37" w:rsidRPr="00497494">
        <w:rPr>
          <w:rFonts w:ascii="Times New Roman" w:hAnsi="Times New Roman"/>
          <w:sz w:val="22"/>
        </w:rPr>
        <w:t xml:space="preserve"> </w:t>
      </w:r>
      <w:r w:rsidR="0044469D">
        <w:rPr>
          <w:rFonts w:ascii="Times New Roman" w:hAnsi="Times New Roman"/>
          <w:sz w:val="22"/>
        </w:rPr>
        <w:t xml:space="preserve">pre riadenie </w:t>
      </w:r>
      <w:r w:rsidR="00041C37" w:rsidRPr="00497494">
        <w:rPr>
          <w:rFonts w:ascii="Times New Roman" w:hAnsi="Times New Roman"/>
          <w:sz w:val="22"/>
        </w:rPr>
        <w:t>rizík podvodov</w:t>
      </w:r>
      <w:r w:rsidRPr="00497494">
        <w:rPr>
          <w:rFonts w:ascii="Times New Roman" w:hAnsi="Times New Roman" w:cs="Times New Roman"/>
          <w:sz w:val="22"/>
        </w:rPr>
        <w:t xml:space="preserve"> zohľadnia existujúce riadiace a kontrolné mechanizmy, schopnosť týchto mechanizmov eliminovať riziko, včasnosť prejavu eliminácie rizika prijatím navrhovaného opatrenia a kapacity spojené s prijatím navrhovaného opatrenia.  </w:t>
      </w:r>
    </w:p>
    <w:p w14:paraId="2D399808" w14:textId="77777777" w:rsidR="00383B50" w:rsidRPr="00450DEB" w:rsidRDefault="00383B50" w:rsidP="00C3571B">
      <w:pPr>
        <w:pStyle w:val="Odsekzoznamu"/>
        <w:spacing w:line="276" w:lineRule="auto"/>
        <w:ind w:left="0"/>
        <w:jc w:val="both"/>
        <w:rPr>
          <w:rFonts w:ascii="Times New Roman" w:hAnsi="Times New Roman" w:cs="Times New Roman"/>
          <w:sz w:val="22"/>
          <w:highlight w:val="yellow"/>
        </w:rPr>
      </w:pPr>
    </w:p>
    <w:p w14:paraId="2D399809" w14:textId="546E12C1" w:rsidR="00383B50" w:rsidRPr="00497494" w:rsidRDefault="000E40E4" w:rsidP="00450DEB">
      <w:pPr>
        <w:spacing w:before="120" w:after="120" w:line="276" w:lineRule="auto"/>
        <w:jc w:val="both"/>
        <w:rPr>
          <w:rFonts w:ascii="Times New Roman" w:hAnsi="Times New Roman"/>
          <w:sz w:val="22"/>
        </w:rPr>
      </w:pPr>
      <w:r w:rsidRPr="00497494">
        <w:rPr>
          <w:rFonts w:ascii="Times New Roman" w:hAnsi="Times New Roman"/>
          <w:sz w:val="22"/>
          <w:szCs w:val="22"/>
        </w:rPr>
        <w:t>Ku každému riziku v</w:t>
      </w:r>
      <w:r w:rsidR="00A30CBC" w:rsidRPr="00497494">
        <w:rPr>
          <w:rFonts w:ascii="Times New Roman" w:hAnsi="Times New Roman"/>
          <w:sz w:val="22"/>
          <w:szCs w:val="22"/>
        </w:rPr>
        <w:t> </w:t>
      </w:r>
      <w:r w:rsidRPr="00497494">
        <w:rPr>
          <w:rFonts w:ascii="Times New Roman" w:hAnsi="Times New Roman"/>
          <w:sz w:val="22"/>
          <w:szCs w:val="22"/>
        </w:rPr>
        <w:t>z</w:t>
      </w:r>
      <w:r w:rsidR="00383B50" w:rsidRPr="00497494">
        <w:rPr>
          <w:rFonts w:ascii="Times New Roman" w:hAnsi="Times New Roman"/>
          <w:sz w:val="22"/>
          <w:szCs w:val="22"/>
        </w:rPr>
        <w:t>ozname</w:t>
      </w:r>
      <w:r w:rsidR="00A30CBC" w:rsidRPr="00497494">
        <w:rPr>
          <w:rFonts w:ascii="Times New Roman" w:hAnsi="Times New Roman"/>
          <w:sz w:val="22"/>
          <w:szCs w:val="22"/>
        </w:rPr>
        <w:t xml:space="preserve"> rizík podvodov</w:t>
      </w:r>
      <w:r w:rsidR="003007C6" w:rsidRPr="00497494">
        <w:rPr>
          <w:rFonts w:ascii="Times New Roman" w:hAnsi="Times New Roman"/>
          <w:sz w:val="22"/>
          <w:szCs w:val="22"/>
        </w:rPr>
        <w:t xml:space="preserve"> členovia tímu</w:t>
      </w:r>
      <w:r w:rsidR="00041C37" w:rsidRPr="00497494">
        <w:rPr>
          <w:rFonts w:ascii="Times New Roman" w:hAnsi="Times New Roman"/>
          <w:sz w:val="22"/>
          <w:szCs w:val="22"/>
        </w:rPr>
        <w:t xml:space="preserve"> </w:t>
      </w:r>
      <w:r w:rsidR="0044469D">
        <w:rPr>
          <w:rFonts w:ascii="Times New Roman" w:hAnsi="Times New Roman"/>
          <w:sz w:val="22"/>
          <w:szCs w:val="22"/>
        </w:rPr>
        <w:t xml:space="preserve">pre riadenie </w:t>
      </w:r>
      <w:r w:rsidR="00041C37" w:rsidRPr="00497494">
        <w:rPr>
          <w:rFonts w:ascii="Times New Roman" w:hAnsi="Times New Roman"/>
          <w:sz w:val="22"/>
          <w:szCs w:val="22"/>
        </w:rPr>
        <w:t>rizík podvodov</w:t>
      </w:r>
      <w:r w:rsidR="00383B50" w:rsidRPr="00497494">
        <w:rPr>
          <w:rFonts w:ascii="Times New Roman" w:hAnsi="Times New Roman"/>
          <w:sz w:val="22"/>
          <w:szCs w:val="22"/>
        </w:rPr>
        <w:t>:</w:t>
      </w:r>
    </w:p>
    <w:p w14:paraId="2D39980A" w14:textId="19E9D101" w:rsidR="00383B50" w:rsidRPr="00450DEB" w:rsidRDefault="00383B50" w:rsidP="00450DEB">
      <w:pPr>
        <w:pStyle w:val="Odsekzoznamu"/>
        <w:numPr>
          <w:ilvl w:val="0"/>
          <w:numId w:val="33"/>
        </w:numPr>
        <w:spacing w:before="120" w:after="120" w:line="276" w:lineRule="auto"/>
        <w:jc w:val="both"/>
        <w:rPr>
          <w:sz w:val="22"/>
        </w:rPr>
      </w:pPr>
      <w:r w:rsidRPr="00450DEB">
        <w:rPr>
          <w:rFonts w:ascii="Times New Roman" w:hAnsi="Times New Roman"/>
          <w:sz w:val="22"/>
        </w:rPr>
        <w:t>v prípade potvrdenia nedostatočnosti existujúcich kontrolných mechanizmov navrhnú opatrenie na eliminovanie rizika, resp. minimalizovanie jeho dopadu (základnými informačnými zdrojmi na navrhnutie opatrení sú napr. skúsenosti z predchádzajúcich programových období, brainstorming atď.);</w:t>
      </w:r>
    </w:p>
    <w:p w14:paraId="2D39980B" w14:textId="15EF7CAA" w:rsidR="00383B50" w:rsidRPr="00450DEB" w:rsidRDefault="00383B50" w:rsidP="00450DEB">
      <w:pPr>
        <w:pStyle w:val="Odsekzoznamu"/>
        <w:numPr>
          <w:ilvl w:val="0"/>
          <w:numId w:val="33"/>
        </w:numPr>
        <w:spacing w:before="120" w:after="120" w:line="276" w:lineRule="auto"/>
        <w:jc w:val="both"/>
        <w:rPr>
          <w:sz w:val="22"/>
        </w:rPr>
      </w:pPr>
      <w:r w:rsidRPr="00450DEB">
        <w:rPr>
          <w:rFonts w:ascii="Times New Roman" w:hAnsi="Times New Roman"/>
          <w:sz w:val="22"/>
        </w:rPr>
        <w:t xml:space="preserve">určia zodpovednosť za prijatie opatrenia, na základe posúdenia, do akej miery vie </w:t>
      </w:r>
      <w:r w:rsidR="00B52831" w:rsidRPr="00450DEB">
        <w:rPr>
          <w:rFonts w:ascii="Times New Roman" w:hAnsi="Times New Roman"/>
          <w:sz w:val="22"/>
        </w:rPr>
        <w:t>R</w:t>
      </w:r>
      <w:r w:rsidR="00CA77D1" w:rsidRPr="00450DEB">
        <w:rPr>
          <w:rFonts w:ascii="Times New Roman" w:hAnsi="Times New Roman"/>
          <w:sz w:val="22"/>
        </w:rPr>
        <w:t xml:space="preserve">O </w:t>
      </w:r>
      <w:r w:rsidRPr="00450DEB">
        <w:rPr>
          <w:rFonts w:ascii="Times New Roman" w:hAnsi="Times New Roman"/>
          <w:sz w:val="22"/>
        </w:rPr>
        <w:t xml:space="preserve"> riziku predísť (t.j. zabrániť jeho vzniku) a do akej miery vie riziko v prípade jeho vzniku riadiť a riešiť;</w:t>
      </w:r>
    </w:p>
    <w:p w14:paraId="2D39980C" w14:textId="231CCAFE" w:rsidR="00383B50" w:rsidRPr="00450DEB" w:rsidRDefault="00383B50" w:rsidP="00450DEB">
      <w:pPr>
        <w:pStyle w:val="Odsekzoznamu"/>
        <w:numPr>
          <w:ilvl w:val="0"/>
          <w:numId w:val="33"/>
        </w:numPr>
        <w:spacing w:before="120" w:after="120" w:line="276" w:lineRule="auto"/>
        <w:jc w:val="both"/>
        <w:rPr>
          <w:sz w:val="22"/>
        </w:rPr>
      </w:pPr>
      <w:r w:rsidRPr="00450DEB">
        <w:rPr>
          <w:rFonts w:ascii="Times New Roman" w:hAnsi="Times New Roman"/>
          <w:sz w:val="22"/>
        </w:rPr>
        <w:t>stanovia termín na prijatie navrhnutých opatrení (mesiac/rok, priebežne apod.);</w:t>
      </w:r>
    </w:p>
    <w:p w14:paraId="2D39980D" w14:textId="3B3EDE6A" w:rsidR="00383B50" w:rsidRPr="00450DEB" w:rsidRDefault="00383B50" w:rsidP="00450DEB">
      <w:pPr>
        <w:pStyle w:val="Odsekzoznamu"/>
        <w:numPr>
          <w:ilvl w:val="0"/>
          <w:numId w:val="33"/>
        </w:numPr>
        <w:spacing w:before="120" w:after="120" w:line="276" w:lineRule="auto"/>
        <w:jc w:val="both"/>
        <w:rPr>
          <w:sz w:val="22"/>
        </w:rPr>
      </w:pPr>
      <w:r w:rsidRPr="00450DEB">
        <w:rPr>
          <w:rFonts w:ascii="Times New Roman" w:hAnsi="Times New Roman"/>
          <w:sz w:val="22"/>
        </w:rPr>
        <w:t>u</w:t>
      </w:r>
      <w:r w:rsidR="00CA77D1" w:rsidRPr="00450DEB">
        <w:rPr>
          <w:rFonts w:ascii="Times New Roman" w:hAnsi="Times New Roman"/>
          <w:sz w:val="22"/>
        </w:rPr>
        <w:t>vedú potenciálny dopad</w:t>
      </w:r>
      <w:r w:rsidRPr="00450DEB">
        <w:rPr>
          <w:rFonts w:ascii="Times New Roman" w:hAnsi="Times New Roman"/>
          <w:sz w:val="22"/>
        </w:rPr>
        <w:t>.</w:t>
      </w:r>
    </w:p>
    <w:p w14:paraId="2D39980E" w14:textId="1DD264C9" w:rsidR="00383B50" w:rsidRPr="00450DEB" w:rsidRDefault="00383B50" w:rsidP="00450DEB">
      <w:pPr>
        <w:spacing w:before="120" w:after="120" w:line="276" w:lineRule="auto"/>
        <w:jc w:val="both"/>
        <w:rPr>
          <w:sz w:val="22"/>
          <w:szCs w:val="22"/>
        </w:rPr>
      </w:pPr>
      <w:r w:rsidRPr="00450DEB">
        <w:rPr>
          <w:rFonts w:ascii="Times New Roman" w:hAnsi="Times New Roman"/>
          <w:sz w:val="22"/>
          <w:szCs w:val="22"/>
        </w:rPr>
        <w:t>V prípade všetkých ri</w:t>
      </w:r>
      <w:r w:rsidR="003007C6" w:rsidRPr="00450DEB">
        <w:rPr>
          <w:rFonts w:ascii="Times New Roman" w:hAnsi="Times New Roman"/>
          <w:sz w:val="22"/>
          <w:szCs w:val="22"/>
        </w:rPr>
        <w:t>zík  je potrebné, aby členovia tímu</w:t>
      </w:r>
      <w:r w:rsidR="00041C37" w:rsidRPr="00450DEB">
        <w:rPr>
          <w:rFonts w:ascii="Times New Roman" w:hAnsi="Times New Roman"/>
          <w:sz w:val="22"/>
          <w:szCs w:val="22"/>
        </w:rPr>
        <w:t xml:space="preserve"> </w:t>
      </w:r>
      <w:r w:rsidR="0044469D">
        <w:rPr>
          <w:rFonts w:ascii="Times New Roman" w:hAnsi="Times New Roman"/>
          <w:sz w:val="22"/>
          <w:szCs w:val="22"/>
        </w:rPr>
        <w:t xml:space="preserve">pre riadenie </w:t>
      </w:r>
      <w:r w:rsidR="00041C37" w:rsidRPr="00450DEB">
        <w:rPr>
          <w:rFonts w:ascii="Times New Roman" w:hAnsi="Times New Roman"/>
          <w:sz w:val="22"/>
          <w:szCs w:val="22"/>
        </w:rPr>
        <w:t>rizík podvodov</w:t>
      </w:r>
      <w:r w:rsidRPr="00450DEB">
        <w:rPr>
          <w:rFonts w:ascii="Times New Roman" w:hAnsi="Times New Roman"/>
          <w:sz w:val="22"/>
          <w:szCs w:val="22"/>
        </w:rPr>
        <w:t xml:space="preserve"> pri stanovení termínov na prijatie opatrení zohľadnili potrebu ich čo najskoršieho prijatia.</w:t>
      </w:r>
    </w:p>
    <w:p w14:paraId="2D399810" w14:textId="11EFF3A8" w:rsidR="00383B50" w:rsidRDefault="00383B50" w:rsidP="00450DEB">
      <w:pPr>
        <w:spacing w:before="120" w:after="120" w:line="276" w:lineRule="auto"/>
        <w:jc w:val="both"/>
        <w:rPr>
          <w:rFonts w:ascii="Times New Roman" w:hAnsi="Times New Roman"/>
          <w:sz w:val="22"/>
          <w:szCs w:val="22"/>
        </w:rPr>
      </w:pPr>
      <w:r w:rsidRPr="00450DEB">
        <w:rPr>
          <w:rFonts w:ascii="Times New Roman" w:hAnsi="Times New Roman"/>
          <w:sz w:val="22"/>
          <w:szCs w:val="22"/>
        </w:rPr>
        <w:t>Na začiatku programového obdobia sa vychádza z predpokladu, že systém kontrolných</w:t>
      </w:r>
      <w:r w:rsidR="00FC2C7B" w:rsidRPr="00450DEB">
        <w:rPr>
          <w:rFonts w:ascii="Times New Roman" w:hAnsi="Times New Roman"/>
          <w:sz w:val="22"/>
          <w:szCs w:val="22"/>
        </w:rPr>
        <w:t xml:space="preserve">                                      </w:t>
      </w:r>
      <w:r w:rsidRPr="00450DEB">
        <w:rPr>
          <w:rFonts w:ascii="Times New Roman" w:hAnsi="Times New Roman"/>
          <w:sz w:val="22"/>
          <w:szCs w:val="22"/>
        </w:rPr>
        <w:t>mechanizmov je nastavený dostatočne a</w:t>
      </w:r>
      <w:r w:rsidR="005D390D" w:rsidRPr="00450DEB">
        <w:rPr>
          <w:rFonts w:ascii="Times New Roman" w:hAnsi="Times New Roman"/>
          <w:sz w:val="22"/>
          <w:szCs w:val="22"/>
        </w:rPr>
        <w:t> </w:t>
      </w:r>
      <w:r w:rsidRPr="00450DEB">
        <w:rPr>
          <w:rFonts w:ascii="Times New Roman" w:hAnsi="Times New Roman"/>
          <w:sz w:val="22"/>
          <w:szCs w:val="22"/>
        </w:rPr>
        <w:t>správne</w:t>
      </w:r>
      <w:r w:rsidR="005D390D" w:rsidRPr="00450DEB">
        <w:rPr>
          <w:rFonts w:ascii="Times New Roman" w:hAnsi="Times New Roman"/>
          <w:sz w:val="22"/>
          <w:szCs w:val="22"/>
        </w:rPr>
        <w:t>.</w:t>
      </w:r>
    </w:p>
    <w:p w14:paraId="3D632B7B" w14:textId="77777777" w:rsidR="00C464D9" w:rsidRPr="00450DEB" w:rsidRDefault="00C464D9" w:rsidP="00450DEB">
      <w:pPr>
        <w:spacing w:before="120" w:after="120" w:line="276" w:lineRule="auto"/>
        <w:jc w:val="both"/>
        <w:rPr>
          <w:sz w:val="22"/>
          <w:szCs w:val="22"/>
        </w:rPr>
      </w:pPr>
    </w:p>
    <w:p w14:paraId="60C4129B" w14:textId="5D8A443B" w:rsidR="00D15DA5" w:rsidRPr="00450DEB" w:rsidRDefault="000F3E2A" w:rsidP="000F3E2A">
      <w:pPr>
        <w:pStyle w:val="Nadpis3"/>
        <w:spacing w:line="276" w:lineRule="auto"/>
        <w:ind w:left="0" w:firstLine="426"/>
        <w:rPr>
          <w:rStyle w:val="tl4Char"/>
          <w:color w:val="0070C0"/>
          <w:sz w:val="22"/>
          <w:szCs w:val="22"/>
          <w:lang w:val="sk-SK"/>
        </w:rPr>
      </w:pPr>
      <w:bookmarkStart w:id="29" w:name="_Toc45873732"/>
      <w:bookmarkStart w:id="30" w:name="_Toc420332620"/>
      <w:bookmarkStart w:id="31" w:name="_Toc97642165"/>
      <w:r w:rsidRPr="00450DEB">
        <w:rPr>
          <w:rFonts w:ascii="Times New Roman" w:hAnsi="Times New Roman"/>
          <w:b/>
          <w:bCs/>
          <w:color w:val="0070C0"/>
          <w:sz w:val="22"/>
          <w:szCs w:val="22"/>
          <w:lang w:val="sk-SK"/>
        </w:rPr>
        <w:t xml:space="preserve">5.5 </w:t>
      </w:r>
      <w:r w:rsidR="00383B50" w:rsidRPr="00450DEB">
        <w:rPr>
          <w:rStyle w:val="tl4Char"/>
          <w:color w:val="0070C0"/>
          <w:sz w:val="22"/>
          <w:szCs w:val="22"/>
          <w:lang w:val="sk-SK"/>
        </w:rPr>
        <w:t>M</w:t>
      </w:r>
      <w:r w:rsidR="00D15DA5" w:rsidRPr="00450DEB">
        <w:rPr>
          <w:rStyle w:val="tl4Char"/>
          <w:color w:val="0070C0"/>
          <w:sz w:val="22"/>
          <w:szCs w:val="22"/>
          <w:lang w:val="sk-SK"/>
        </w:rPr>
        <w:t>ONITOROVANIE RIZÍK A PRIJATÝCH OPATRENÍ</w:t>
      </w:r>
    </w:p>
    <w:bookmarkEnd w:id="29"/>
    <w:bookmarkEnd w:id="30"/>
    <w:bookmarkEnd w:id="31"/>
    <w:p w14:paraId="2D399812" w14:textId="3C022CDB" w:rsidR="00383B50" w:rsidRPr="00450DEB" w:rsidRDefault="003007C6" w:rsidP="00450DEB">
      <w:pPr>
        <w:spacing w:before="120" w:after="120" w:line="276" w:lineRule="auto"/>
        <w:jc w:val="both"/>
        <w:rPr>
          <w:sz w:val="22"/>
          <w:szCs w:val="22"/>
        </w:rPr>
      </w:pPr>
      <w:r w:rsidRPr="00450DEB">
        <w:rPr>
          <w:rFonts w:ascii="Times New Roman" w:hAnsi="Times New Roman"/>
          <w:sz w:val="22"/>
          <w:szCs w:val="22"/>
        </w:rPr>
        <w:t xml:space="preserve">Tím </w:t>
      </w:r>
      <w:r w:rsidR="009E52ED">
        <w:rPr>
          <w:rFonts w:ascii="Times New Roman" w:hAnsi="Times New Roman"/>
          <w:sz w:val="22"/>
          <w:szCs w:val="22"/>
        </w:rPr>
        <w:t xml:space="preserve">pre riadenie </w:t>
      </w:r>
      <w:r w:rsidRPr="00450DEB">
        <w:rPr>
          <w:rFonts w:ascii="Times New Roman" w:hAnsi="Times New Roman"/>
          <w:sz w:val="22"/>
          <w:szCs w:val="22"/>
        </w:rPr>
        <w:t>r</w:t>
      </w:r>
      <w:r w:rsidR="00041C37" w:rsidRPr="00450DEB">
        <w:rPr>
          <w:rFonts w:ascii="Times New Roman" w:hAnsi="Times New Roman"/>
          <w:sz w:val="22"/>
          <w:szCs w:val="22"/>
        </w:rPr>
        <w:t>izík podvodov</w:t>
      </w:r>
      <w:r w:rsidR="00CA77D1" w:rsidRPr="00450DEB">
        <w:rPr>
          <w:rFonts w:ascii="Times New Roman" w:hAnsi="Times New Roman"/>
          <w:sz w:val="22"/>
          <w:szCs w:val="22"/>
        </w:rPr>
        <w:t xml:space="preserve"> zodpovedá</w:t>
      </w:r>
      <w:r w:rsidR="00383B50" w:rsidRPr="00450DEB">
        <w:rPr>
          <w:rFonts w:ascii="Times New Roman" w:hAnsi="Times New Roman"/>
          <w:sz w:val="22"/>
          <w:szCs w:val="22"/>
        </w:rPr>
        <w:t xml:space="preserve"> za riadny výkon navrhnutých opatrení a zároveň aj za</w:t>
      </w:r>
      <w:r w:rsidR="00822BCA" w:rsidRPr="00450DEB">
        <w:rPr>
          <w:rFonts w:ascii="Times New Roman" w:hAnsi="Times New Roman"/>
          <w:sz w:val="22"/>
          <w:szCs w:val="22"/>
        </w:rPr>
        <w:t xml:space="preserve"> </w:t>
      </w:r>
      <w:r w:rsidR="00383B50" w:rsidRPr="00450DEB">
        <w:rPr>
          <w:rFonts w:ascii="Times New Roman" w:hAnsi="Times New Roman"/>
          <w:sz w:val="22"/>
          <w:szCs w:val="22"/>
        </w:rPr>
        <w:t xml:space="preserve">riadne monitorovanie / vykazovanie prijatých opatrení v súlade </w:t>
      </w:r>
      <w:r w:rsidR="00CA77D1" w:rsidRPr="00450DEB">
        <w:rPr>
          <w:rFonts w:ascii="Times New Roman" w:hAnsi="Times New Roman"/>
          <w:sz w:val="22"/>
          <w:szCs w:val="22"/>
        </w:rPr>
        <w:t>s pokynm</w:t>
      </w:r>
      <w:r w:rsidR="000E40E4" w:rsidRPr="00450DEB">
        <w:rPr>
          <w:rFonts w:ascii="Times New Roman" w:hAnsi="Times New Roman"/>
          <w:sz w:val="22"/>
          <w:szCs w:val="22"/>
        </w:rPr>
        <w:t>i uvedenými v platnom zozname</w:t>
      </w:r>
      <w:r w:rsidR="00A30CBC" w:rsidRPr="00450DEB">
        <w:rPr>
          <w:rFonts w:ascii="Times New Roman" w:hAnsi="Times New Roman"/>
          <w:sz w:val="22"/>
          <w:szCs w:val="22"/>
        </w:rPr>
        <w:t xml:space="preserve"> rizík podvodov</w:t>
      </w:r>
      <w:r w:rsidR="00CA77D1" w:rsidRPr="00450DEB">
        <w:rPr>
          <w:rFonts w:ascii="Times New Roman" w:hAnsi="Times New Roman"/>
          <w:sz w:val="22"/>
          <w:szCs w:val="22"/>
        </w:rPr>
        <w:t>.</w:t>
      </w:r>
    </w:p>
    <w:p w14:paraId="2D399813" w14:textId="79FCB975" w:rsidR="00383B50" w:rsidRPr="00EB5A53" w:rsidRDefault="00383B50" w:rsidP="00450DEB">
      <w:pPr>
        <w:spacing w:before="120" w:after="120" w:line="276" w:lineRule="auto"/>
        <w:jc w:val="both"/>
        <w:rPr>
          <w:rFonts w:ascii="Times New Roman" w:hAnsi="Times New Roman"/>
          <w:sz w:val="22"/>
          <w:szCs w:val="22"/>
        </w:rPr>
      </w:pPr>
      <w:r w:rsidRPr="00450DEB">
        <w:rPr>
          <w:rFonts w:ascii="Times New Roman" w:hAnsi="Times New Roman"/>
          <w:sz w:val="22"/>
          <w:szCs w:val="22"/>
        </w:rPr>
        <w:t xml:space="preserve">Pravdepodobnosť a významnosť každého rizika sa v čase môže meniť a preto </w:t>
      </w:r>
      <w:r w:rsidR="003007C6" w:rsidRPr="00450DEB">
        <w:rPr>
          <w:rFonts w:ascii="Times New Roman" w:hAnsi="Times New Roman"/>
          <w:sz w:val="22"/>
          <w:szCs w:val="22"/>
        </w:rPr>
        <w:t>t</w:t>
      </w:r>
      <w:r w:rsidR="00041C37" w:rsidRPr="00450DEB">
        <w:rPr>
          <w:rFonts w:ascii="Times New Roman" w:hAnsi="Times New Roman"/>
          <w:sz w:val="22"/>
          <w:szCs w:val="22"/>
        </w:rPr>
        <w:t xml:space="preserve">ím </w:t>
      </w:r>
      <w:r w:rsidR="009E52ED">
        <w:rPr>
          <w:rFonts w:ascii="Times New Roman" w:hAnsi="Times New Roman"/>
          <w:sz w:val="22"/>
          <w:szCs w:val="22"/>
        </w:rPr>
        <w:t xml:space="preserve">pre riadenie </w:t>
      </w:r>
      <w:r w:rsidR="00041C37" w:rsidRPr="00450DEB">
        <w:rPr>
          <w:rFonts w:ascii="Times New Roman" w:hAnsi="Times New Roman"/>
          <w:sz w:val="22"/>
          <w:szCs w:val="22"/>
        </w:rPr>
        <w:t>rizík podvodov</w:t>
      </w:r>
      <w:r w:rsidR="003007C6" w:rsidRPr="00450DEB">
        <w:rPr>
          <w:rFonts w:ascii="Times New Roman" w:hAnsi="Times New Roman"/>
          <w:sz w:val="22"/>
          <w:szCs w:val="22"/>
        </w:rPr>
        <w:t xml:space="preserve"> </w:t>
      </w:r>
      <w:r w:rsidRPr="00450DEB">
        <w:rPr>
          <w:rFonts w:ascii="Times New Roman" w:hAnsi="Times New Roman"/>
          <w:sz w:val="22"/>
          <w:szCs w:val="22"/>
        </w:rPr>
        <w:t xml:space="preserve">vykonáva monitorovanie rizík a zároveň aj vykonáva hodnotenie plnenia navrhnutých </w:t>
      </w:r>
      <w:r w:rsidRPr="00450DEB">
        <w:rPr>
          <w:rFonts w:ascii="Times New Roman" w:hAnsi="Times New Roman"/>
          <w:sz w:val="22"/>
          <w:szCs w:val="22"/>
        </w:rPr>
        <w:lastRenderedPageBreak/>
        <w:t xml:space="preserve">opatrení a ich efektívnosť minimálne na každom riadnom zasadnutí. Hodnotenie rizík sa vykonáva ako bod programu riadneho zasadnutia </w:t>
      </w:r>
      <w:r w:rsidR="003007C6" w:rsidRPr="00450DEB">
        <w:rPr>
          <w:rFonts w:ascii="Times New Roman" w:hAnsi="Times New Roman"/>
          <w:sz w:val="22"/>
          <w:szCs w:val="22"/>
        </w:rPr>
        <w:t>tímu</w:t>
      </w:r>
      <w:r w:rsidR="00041C37" w:rsidRPr="00450DEB">
        <w:rPr>
          <w:rFonts w:ascii="Times New Roman" w:hAnsi="Times New Roman"/>
          <w:sz w:val="22"/>
          <w:szCs w:val="22"/>
        </w:rPr>
        <w:t xml:space="preserve"> </w:t>
      </w:r>
      <w:r w:rsidR="009E52ED">
        <w:rPr>
          <w:rFonts w:ascii="Times New Roman" w:hAnsi="Times New Roman"/>
          <w:sz w:val="22"/>
          <w:szCs w:val="22"/>
        </w:rPr>
        <w:t xml:space="preserve">pre riadenie </w:t>
      </w:r>
      <w:r w:rsidR="00041C37" w:rsidRPr="00450DEB">
        <w:rPr>
          <w:rFonts w:ascii="Times New Roman" w:hAnsi="Times New Roman"/>
          <w:sz w:val="22"/>
          <w:szCs w:val="22"/>
        </w:rPr>
        <w:t>rizík podvodov</w:t>
      </w:r>
      <w:r w:rsidR="003007C6" w:rsidRPr="00450DEB">
        <w:rPr>
          <w:rFonts w:ascii="Times New Roman" w:hAnsi="Times New Roman"/>
          <w:sz w:val="22"/>
          <w:szCs w:val="22"/>
        </w:rPr>
        <w:t xml:space="preserve"> </w:t>
      </w:r>
      <w:r w:rsidRPr="00450DEB">
        <w:rPr>
          <w:rFonts w:ascii="Times New Roman" w:hAnsi="Times New Roman"/>
          <w:sz w:val="22"/>
          <w:szCs w:val="22"/>
        </w:rPr>
        <w:t>alebo môže byť predmetom mimoriadneho zasadnutia.</w:t>
      </w:r>
    </w:p>
    <w:p w14:paraId="2D399825" w14:textId="70F5A023" w:rsidR="00383B50" w:rsidRDefault="00383B50" w:rsidP="00450DEB">
      <w:pPr>
        <w:spacing w:before="120" w:after="120" w:line="276" w:lineRule="auto"/>
        <w:jc w:val="both"/>
        <w:rPr>
          <w:rFonts w:ascii="Times New Roman" w:hAnsi="Times New Roman"/>
          <w:sz w:val="22"/>
          <w:szCs w:val="22"/>
        </w:rPr>
      </w:pPr>
      <w:r w:rsidRPr="00450DEB">
        <w:rPr>
          <w:rFonts w:ascii="Times New Roman" w:hAnsi="Times New Roman"/>
          <w:sz w:val="22"/>
          <w:szCs w:val="22"/>
        </w:rPr>
        <w:t>Monitorovaním rizík, hodnotením účinnosti a efektívnosti Systému riadenia rizík a vyhodno</w:t>
      </w:r>
      <w:r w:rsidR="003007C6" w:rsidRPr="00450DEB">
        <w:rPr>
          <w:rFonts w:ascii="Times New Roman" w:hAnsi="Times New Roman"/>
          <w:sz w:val="22"/>
          <w:szCs w:val="22"/>
        </w:rPr>
        <w:t>covaním nápravných opatrení sa t</w:t>
      </w:r>
      <w:r w:rsidR="00041C37" w:rsidRPr="00450DEB">
        <w:rPr>
          <w:rFonts w:ascii="Times New Roman" w:hAnsi="Times New Roman"/>
          <w:sz w:val="22"/>
          <w:szCs w:val="22"/>
        </w:rPr>
        <w:t xml:space="preserve">ím </w:t>
      </w:r>
      <w:r w:rsidR="009E52ED">
        <w:rPr>
          <w:rFonts w:ascii="Times New Roman" w:hAnsi="Times New Roman"/>
          <w:sz w:val="22"/>
          <w:szCs w:val="22"/>
        </w:rPr>
        <w:t xml:space="preserve">pre riadenie </w:t>
      </w:r>
      <w:r w:rsidR="00041C37" w:rsidRPr="00450DEB">
        <w:rPr>
          <w:rFonts w:ascii="Times New Roman" w:hAnsi="Times New Roman"/>
          <w:sz w:val="22"/>
          <w:szCs w:val="22"/>
        </w:rPr>
        <w:t>rizík podvodov</w:t>
      </w:r>
      <w:r w:rsidR="00CA77D1" w:rsidRPr="00450DEB">
        <w:rPr>
          <w:rFonts w:ascii="Times New Roman" w:hAnsi="Times New Roman"/>
          <w:sz w:val="22"/>
          <w:szCs w:val="22"/>
        </w:rPr>
        <w:t xml:space="preserve"> </w:t>
      </w:r>
      <w:r w:rsidRPr="00450DEB">
        <w:rPr>
          <w:rFonts w:ascii="Times New Roman" w:hAnsi="Times New Roman"/>
          <w:sz w:val="22"/>
          <w:szCs w:val="22"/>
        </w:rPr>
        <w:t>zaoberá na každom riadnom zasadnutí, ak to povaha navrhnutých doplnených opatrení nevyžaduje častejšie.</w:t>
      </w:r>
      <w:bookmarkStart w:id="32" w:name="_Toc420332621"/>
    </w:p>
    <w:p w14:paraId="1A0D48D1" w14:textId="77777777" w:rsidR="00C464D9" w:rsidRPr="00450DEB" w:rsidRDefault="00C464D9" w:rsidP="00450DEB">
      <w:pPr>
        <w:spacing w:before="120" w:after="120" w:line="276" w:lineRule="auto"/>
        <w:jc w:val="both"/>
        <w:rPr>
          <w:sz w:val="22"/>
          <w:szCs w:val="22"/>
        </w:rPr>
      </w:pPr>
    </w:p>
    <w:p w14:paraId="0EC62987" w14:textId="463B9695" w:rsidR="003E30B4" w:rsidRPr="00450DEB" w:rsidRDefault="000F3E2A" w:rsidP="00E4522D">
      <w:pPr>
        <w:pStyle w:val="Nadpis2"/>
        <w:tabs>
          <w:tab w:val="left" w:pos="426"/>
        </w:tabs>
        <w:spacing w:line="276" w:lineRule="auto"/>
        <w:ind w:left="0" w:firstLine="0"/>
        <w:rPr>
          <w:rFonts w:ascii="Times New Roman" w:hAnsi="Times New Roman"/>
          <w:b/>
          <w:bCs/>
          <w:color w:val="0070C0"/>
          <w:sz w:val="22"/>
          <w:szCs w:val="22"/>
          <w:lang w:val="sk-SK"/>
        </w:rPr>
      </w:pPr>
      <w:bookmarkStart w:id="33" w:name="_Toc97642166"/>
      <w:bookmarkStart w:id="34" w:name="_Toc45873733"/>
      <w:r w:rsidRPr="00450DEB">
        <w:rPr>
          <w:rFonts w:ascii="Times New Roman" w:hAnsi="Times New Roman"/>
          <w:b/>
          <w:bCs/>
          <w:color w:val="0070C0"/>
          <w:sz w:val="22"/>
          <w:szCs w:val="22"/>
          <w:lang w:val="sk-SK"/>
        </w:rPr>
        <w:t xml:space="preserve">6.   </w:t>
      </w:r>
      <w:r w:rsidR="003E30B4" w:rsidRPr="00450DEB">
        <w:rPr>
          <w:rFonts w:ascii="Times New Roman" w:hAnsi="Times New Roman"/>
          <w:b/>
          <w:bCs/>
          <w:color w:val="0070C0"/>
          <w:sz w:val="22"/>
          <w:szCs w:val="22"/>
          <w:lang w:val="sk-SK"/>
        </w:rPr>
        <w:t>ŠPECIFICKÉ USTANOVENIA PRE RIADENIE RIZÍK PODVODOV</w:t>
      </w:r>
    </w:p>
    <w:bookmarkEnd w:id="32"/>
    <w:bookmarkEnd w:id="33"/>
    <w:bookmarkEnd w:id="34"/>
    <w:p w14:paraId="2D39982C" w14:textId="194E23D7" w:rsidR="00383B50" w:rsidRPr="00450DEB" w:rsidRDefault="00383B50" w:rsidP="00450DEB">
      <w:pPr>
        <w:spacing w:before="120" w:line="276" w:lineRule="auto"/>
        <w:jc w:val="both"/>
        <w:rPr>
          <w:sz w:val="22"/>
          <w:szCs w:val="22"/>
          <w:lang w:eastAsia="cs-CZ"/>
        </w:rPr>
      </w:pPr>
      <w:r w:rsidRPr="00450DEB">
        <w:rPr>
          <w:rFonts w:ascii="Times New Roman" w:hAnsi="Times New Roman"/>
          <w:sz w:val="22"/>
          <w:szCs w:val="22"/>
          <w:lang w:eastAsia="cs-CZ"/>
        </w:rPr>
        <w:t xml:space="preserve">Dohovor </w:t>
      </w:r>
      <w:r w:rsidR="003A2407" w:rsidRPr="00C20DF8">
        <w:rPr>
          <w:rFonts w:ascii="Times New Roman" w:hAnsi="Times New Roman"/>
          <w:sz w:val="22"/>
          <w:szCs w:val="22"/>
          <w:lang w:eastAsia="cs-CZ"/>
        </w:rPr>
        <w:t xml:space="preserve">vypracovaný na základe článku K. 3 Zmluvy o Európskej únii </w:t>
      </w:r>
      <w:r w:rsidRPr="00450DEB">
        <w:rPr>
          <w:rFonts w:ascii="Times New Roman" w:hAnsi="Times New Roman"/>
          <w:sz w:val="22"/>
          <w:szCs w:val="22"/>
          <w:lang w:eastAsia="cs-CZ"/>
        </w:rPr>
        <w:t>o ochrane finančných záujmov Európskych spoločenstiev (ďalej len „Dohovor“),</w:t>
      </w:r>
      <w:r w:rsidR="00AE63F4" w:rsidRPr="00450DEB">
        <w:rPr>
          <w:rFonts w:ascii="Times New Roman" w:hAnsi="Times New Roman"/>
          <w:lang w:eastAsia="cs-CZ"/>
        </w:rPr>
        <w:footnoteReference w:id="7"/>
      </w:r>
      <w:r w:rsidRPr="00450DEB">
        <w:rPr>
          <w:rFonts w:ascii="Times New Roman" w:hAnsi="Times New Roman"/>
          <w:sz w:val="22"/>
          <w:szCs w:val="22"/>
          <w:lang w:eastAsia="cs-CZ"/>
        </w:rPr>
        <w:t xml:space="preserve"> definuje „podvod“ v súvislosti s výdavkami ako úmyselný čin alebo opomenutie súvisiace s:</w:t>
      </w:r>
    </w:p>
    <w:p w14:paraId="2D39982D" w14:textId="1DBC904D" w:rsidR="00383B50" w:rsidRPr="00450DEB" w:rsidRDefault="006458D1" w:rsidP="00450DEB">
      <w:pPr>
        <w:spacing w:before="120" w:line="276" w:lineRule="auto"/>
        <w:jc w:val="both"/>
        <w:rPr>
          <w:sz w:val="22"/>
          <w:szCs w:val="22"/>
          <w:lang w:eastAsia="cs-CZ"/>
        </w:rPr>
      </w:pPr>
      <w:r>
        <w:rPr>
          <w:rFonts w:ascii="Times New Roman" w:hAnsi="Times New Roman"/>
          <w:sz w:val="22"/>
          <w:szCs w:val="22"/>
          <w:lang w:eastAsia="cs-CZ"/>
        </w:rPr>
        <w:t xml:space="preserve">- </w:t>
      </w:r>
      <w:r w:rsidR="00383B50" w:rsidRPr="00450DEB">
        <w:rPr>
          <w:rFonts w:ascii="Times New Roman" w:hAnsi="Times New Roman"/>
          <w:sz w:val="22"/>
          <w:szCs w:val="22"/>
          <w:lang w:eastAsia="cs-CZ"/>
        </w:rPr>
        <w:t>používaním alebo predkladaním nepravých, nesprávnych alebo neúplných výkazov alebo dokumentov, ktoré majú za následok odcudzenie alebo protiprávne zadržanie finančných prostriedkov zo všeobecného rozpočtu Európskych spoločenstiev alebo rozpočtov spravovaných Európskymi spoločenstvami alebo v ich mene,</w:t>
      </w:r>
    </w:p>
    <w:p w14:paraId="2D39982E" w14:textId="6F031EEA" w:rsidR="00383B50" w:rsidRPr="00450DEB" w:rsidRDefault="006458D1" w:rsidP="00450DEB">
      <w:pPr>
        <w:spacing w:before="120" w:line="276" w:lineRule="auto"/>
        <w:jc w:val="both"/>
        <w:rPr>
          <w:sz w:val="22"/>
          <w:szCs w:val="22"/>
          <w:lang w:eastAsia="cs-CZ"/>
        </w:rPr>
      </w:pPr>
      <w:r>
        <w:rPr>
          <w:rFonts w:ascii="Times New Roman" w:hAnsi="Times New Roman"/>
          <w:sz w:val="22"/>
          <w:szCs w:val="22"/>
          <w:lang w:eastAsia="cs-CZ"/>
        </w:rPr>
        <w:t xml:space="preserve">- </w:t>
      </w:r>
      <w:r w:rsidR="00383B50" w:rsidRPr="00450DEB">
        <w:rPr>
          <w:rFonts w:ascii="Times New Roman" w:hAnsi="Times New Roman"/>
          <w:sz w:val="22"/>
          <w:szCs w:val="22"/>
          <w:lang w:eastAsia="cs-CZ"/>
        </w:rPr>
        <w:t>nezverejnením informácií v rozpore s konkrétnou povinnosťou, ktoré má rovnaký účinok,</w:t>
      </w:r>
    </w:p>
    <w:p w14:paraId="2D39982F" w14:textId="3D66AC6D" w:rsidR="00383B50" w:rsidRPr="00450DEB" w:rsidRDefault="006458D1" w:rsidP="00450DEB">
      <w:pPr>
        <w:spacing w:before="120" w:line="276" w:lineRule="auto"/>
        <w:jc w:val="both"/>
        <w:rPr>
          <w:sz w:val="22"/>
          <w:szCs w:val="22"/>
          <w:lang w:eastAsia="cs-CZ"/>
        </w:rPr>
      </w:pPr>
      <w:r>
        <w:rPr>
          <w:rFonts w:ascii="Times New Roman" w:hAnsi="Times New Roman"/>
          <w:sz w:val="22"/>
          <w:szCs w:val="22"/>
          <w:lang w:eastAsia="cs-CZ"/>
        </w:rPr>
        <w:t xml:space="preserve">-  </w:t>
      </w:r>
      <w:r w:rsidR="00383B50" w:rsidRPr="00450DEB">
        <w:rPr>
          <w:rFonts w:ascii="Times New Roman" w:hAnsi="Times New Roman"/>
          <w:sz w:val="22"/>
          <w:szCs w:val="22"/>
          <w:lang w:eastAsia="cs-CZ"/>
        </w:rPr>
        <w:t>nesprávnym použitím týchto finančných prostriedkov na iné účely ako sú tie, na ktoré boli pôvodne vyčlenené;</w:t>
      </w:r>
    </w:p>
    <w:p w14:paraId="2D399830" w14:textId="77777777" w:rsidR="00383B50" w:rsidRPr="00450DEB" w:rsidRDefault="00383B50" w:rsidP="00450DEB">
      <w:pPr>
        <w:spacing w:before="120" w:line="276" w:lineRule="auto"/>
        <w:jc w:val="both"/>
        <w:rPr>
          <w:sz w:val="22"/>
          <w:szCs w:val="22"/>
          <w:lang w:eastAsia="cs-CZ"/>
        </w:rPr>
      </w:pPr>
      <w:r w:rsidRPr="00450DEB">
        <w:rPr>
          <w:rFonts w:ascii="Times New Roman" w:hAnsi="Times New Roman"/>
          <w:sz w:val="22"/>
          <w:szCs w:val="22"/>
          <w:lang w:eastAsia="cs-CZ"/>
        </w:rPr>
        <w:t>a v súvislosti s príjmami ako každý úmyselný čin alebo opomenutie súvisiaci s:</w:t>
      </w:r>
    </w:p>
    <w:p w14:paraId="2D399831" w14:textId="6B8FEC6A" w:rsidR="00383B50" w:rsidRPr="00450DEB" w:rsidRDefault="006458D1" w:rsidP="00450DEB">
      <w:pPr>
        <w:spacing w:before="120" w:line="276" w:lineRule="auto"/>
        <w:jc w:val="both"/>
        <w:rPr>
          <w:sz w:val="22"/>
          <w:szCs w:val="22"/>
          <w:lang w:eastAsia="cs-CZ"/>
        </w:rPr>
      </w:pPr>
      <w:r>
        <w:rPr>
          <w:rFonts w:ascii="Times New Roman" w:hAnsi="Times New Roman"/>
          <w:sz w:val="22"/>
          <w:szCs w:val="22"/>
          <w:lang w:eastAsia="cs-CZ"/>
        </w:rPr>
        <w:t xml:space="preserve">- </w:t>
      </w:r>
      <w:r w:rsidR="00383B50" w:rsidRPr="00450DEB">
        <w:rPr>
          <w:rFonts w:ascii="Times New Roman" w:hAnsi="Times New Roman"/>
          <w:sz w:val="22"/>
          <w:szCs w:val="22"/>
          <w:lang w:eastAsia="cs-CZ"/>
        </w:rPr>
        <w:t>používaním alebo predkladaním nepravých, nesprávnych alebo neúplných výkazov alebo dokumentov, ktoré majú za následok nezákonný úbytok prostriedkov zo všeobecného rozpočtu Európskych spoločenstiev alebo z rozpočtov spravovaných Európskymi spoločenstvami alebo v ich mene,</w:t>
      </w:r>
    </w:p>
    <w:p w14:paraId="2D399832" w14:textId="745056AC" w:rsidR="00383B50" w:rsidRPr="00450DEB" w:rsidRDefault="006458D1" w:rsidP="00450DEB">
      <w:pPr>
        <w:spacing w:before="120" w:line="276" w:lineRule="auto"/>
        <w:jc w:val="both"/>
        <w:rPr>
          <w:sz w:val="22"/>
          <w:szCs w:val="22"/>
          <w:lang w:eastAsia="cs-CZ"/>
        </w:rPr>
      </w:pPr>
      <w:r>
        <w:rPr>
          <w:rFonts w:ascii="Times New Roman" w:hAnsi="Times New Roman"/>
          <w:sz w:val="22"/>
          <w:szCs w:val="22"/>
          <w:lang w:eastAsia="cs-CZ"/>
        </w:rPr>
        <w:t xml:space="preserve">- </w:t>
      </w:r>
      <w:r w:rsidR="00383B50" w:rsidRPr="00450DEB">
        <w:rPr>
          <w:rFonts w:ascii="Times New Roman" w:hAnsi="Times New Roman"/>
          <w:sz w:val="22"/>
          <w:szCs w:val="22"/>
          <w:lang w:eastAsia="cs-CZ"/>
        </w:rPr>
        <w:t>nezverejnením informácií v rozpore s konkrétnou povinnosťou, ktoré má rovnaký účinok,</w:t>
      </w:r>
    </w:p>
    <w:p w14:paraId="2D399833" w14:textId="729D3036" w:rsidR="00383B50" w:rsidRPr="00450DEB" w:rsidRDefault="006458D1" w:rsidP="00450DEB">
      <w:pPr>
        <w:spacing w:before="120" w:line="276" w:lineRule="auto"/>
        <w:jc w:val="both"/>
        <w:rPr>
          <w:sz w:val="22"/>
          <w:szCs w:val="22"/>
          <w:lang w:eastAsia="cs-CZ"/>
        </w:rPr>
      </w:pPr>
      <w:r>
        <w:rPr>
          <w:rFonts w:ascii="Times New Roman" w:hAnsi="Times New Roman"/>
          <w:sz w:val="22"/>
          <w:szCs w:val="22"/>
          <w:lang w:eastAsia="cs-CZ"/>
        </w:rPr>
        <w:t xml:space="preserve">- </w:t>
      </w:r>
      <w:r w:rsidR="00383B50" w:rsidRPr="00450DEB">
        <w:rPr>
          <w:rFonts w:ascii="Times New Roman" w:hAnsi="Times New Roman"/>
          <w:sz w:val="22"/>
          <w:szCs w:val="22"/>
          <w:lang w:eastAsia="cs-CZ"/>
        </w:rPr>
        <w:t>nesprávnym použitím právoplatne nadobudnutého zisku, ktoré má rovnaký účinok.</w:t>
      </w:r>
    </w:p>
    <w:p w14:paraId="2D399834" w14:textId="77777777" w:rsidR="00383B50" w:rsidRPr="00450DEB" w:rsidRDefault="00383B50" w:rsidP="00450DEB">
      <w:pPr>
        <w:spacing w:before="120" w:line="276" w:lineRule="auto"/>
        <w:jc w:val="both"/>
        <w:rPr>
          <w:sz w:val="22"/>
          <w:szCs w:val="22"/>
          <w:lang w:eastAsia="cs-CZ"/>
        </w:rPr>
      </w:pPr>
      <w:r w:rsidRPr="00450DEB">
        <w:rPr>
          <w:rFonts w:ascii="Times New Roman" w:hAnsi="Times New Roman"/>
          <w:sz w:val="22"/>
          <w:szCs w:val="22"/>
          <w:lang w:eastAsia="cs-CZ"/>
        </w:rPr>
        <w:t>„Podozrenie z podvodu“ označuje nezrovnalosť, ktorá vyvolá začatie správneho alebo súdneho konania na vnútroštátnej úrovni s cieľom zistiť existenciu úmyselného konania, najmä podvodu, ako sa uvádza v čl. 1 ods. 1 písm. a) Dohovoru.</w:t>
      </w:r>
    </w:p>
    <w:p w14:paraId="2D399836" w14:textId="54107710" w:rsidR="00383B50" w:rsidRPr="008D5481" w:rsidRDefault="00383B50" w:rsidP="008D5481">
      <w:pPr>
        <w:spacing w:before="120" w:line="276" w:lineRule="auto"/>
        <w:jc w:val="both"/>
        <w:rPr>
          <w:rFonts w:ascii="Times New Roman" w:hAnsi="Times New Roman"/>
          <w:sz w:val="22"/>
          <w:szCs w:val="22"/>
          <w:lang w:eastAsia="cs-CZ"/>
        </w:rPr>
      </w:pPr>
      <w:r w:rsidRPr="008D5481">
        <w:rPr>
          <w:rFonts w:ascii="Times New Roman" w:hAnsi="Times New Roman"/>
          <w:sz w:val="22"/>
          <w:szCs w:val="22"/>
          <w:lang w:eastAsia="cs-CZ"/>
        </w:rPr>
        <w:t xml:space="preserve">Nakoľko podozrenia z podvodu alebo korupcie môžu značne poškodiť dobré meno politiky súdržnosti ako aj </w:t>
      </w:r>
      <w:r w:rsidR="00D32563" w:rsidRPr="008D5481">
        <w:rPr>
          <w:rFonts w:ascii="Times New Roman" w:hAnsi="Times New Roman"/>
          <w:sz w:val="22"/>
          <w:szCs w:val="22"/>
          <w:lang w:eastAsia="cs-CZ"/>
        </w:rPr>
        <w:t xml:space="preserve">slovenskej vlády a orgánov EÚ, </w:t>
      </w:r>
      <w:r w:rsidR="00B52831" w:rsidRPr="008D5481">
        <w:rPr>
          <w:rFonts w:ascii="Times New Roman" w:hAnsi="Times New Roman"/>
          <w:sz w:val="22"/>
          <w:szCs w:val="22"/>
          <w:lang w:eastAsia="cs-CZ"/>
        </w:rPr>
        <w:t>R</w:t>
      </w:r>
      <w:r w:rsidRPr="008D5481">
        <w:rPr>
          <w:rFonts w:ascii="Times New Roman" w:hAnsi="Times New Roman"/>
          <w:sz w:val="22"/>
          <w:szCs w:val="22"/>
          <w:lang w:eastAsia="cs-CZ"/>
        </w:rPr>
        <w:t xml:space="preserve">O zverejňuje všetky informácie o </w:t>
      </w:r>
      <w:r w:rsidR="00BB3A15" w:rsidRPr="008D5481">
        <w:rPr>
          <w:rFonts w:ascii="Times New Roman" w:hAnsi="Times New Roman"/>
          <w:sz w:val="22"/>
          <w:szCs w:val="22"/>
          <w:lang w:eastAsia="cs-CZ"/>
        </w:rPr>
        <w:t>podvodoch</w:t>
      </w:r>
      <w:r w:rsidRPr="008D5481">
        <w:rPr>
          <w:rFonts w:ascii="Times New Roman" w:hAnsi="Times New Roman"/>
          <w:sz w:val="22"/>
          <w:szCs w:val="22"/>
          <w:lang w:eastAsia="cs-CZ"/>
        </w:rPr>
        <w:t xml:space="preserve"> alebo </w:t>
      </w:r>
      <w:r w:rsidR="007A12E9" w:rsidRPr="008D5481">
        <w:rPr>
          <w:rFonts w:ascii="Times New Roman" w:hAnsi="Times New Roman"/>
          <w:sz w:val="22"/>
          <w:szCs w:val="22"/>
          <w:lang w:eastAsia="cs-CZ"/>
        </w:rPr>
        <w:t>korupcii</w:t>
      </w:r>
      <w:r w:rsidRPr="008D5481">
        <w:rPr>
          <w:rFonts w:ascii="Times New Roman" w:hAnsi="Times New Roman"/>
          <w:sz w:val="22"/>
          <w:szCs w:val="22"/>
          <w:lang w:eastAsia="cs-CZ"/>
        </w:rPr>
        <w:t>, ktoré má k dispozícii, a vymieňa si ich s vnútroštátnymi útvarmi zodpovednými za vyšetrovanie p</w:t>
      </w:r>
      <w:r w:rsidR="00A64AB1" w:rsidRPr="008D5481">
        <w:rPr>
          <w:rFonts w:ascii="Times New Roman" w:hAnsi="Times New Roman"/>
          <w:sz w:val="22"/>
          <w:szCs w:val="22"/>
          <w:lang w:eastAsia="cs-CZ"/>
        </w:rPr>
        <w:t>odvodu prípadne s odborom Národný úrad pre</w:t>
      </w:r>
      <w:r w:rsidR="00D32563" w:rsidRPr="008D5481">
        <w:rPr>
          <w:rFonts w:ascii="Times New Roman" w:hAnsi="Times New Roman"/>
          <w:sz w:val="22"/>
          <w:szCs w:val="22"/>
          <w:lang w:eastAsia="cs-CZ"/>
        </w:rPr>
        <w:t xml:space="preserve"> OLAF. </w:t>
      </w:r>
      <w:r w:rsidR="00B52831" w:rsidRPr="008D5481">
        <w:rPr>
          <w:rFonts w:ascii="Times New Roman" w:hAnsi="Times New Roman"/>
          <w:sz w:val="22"/>
          <w:szCs w:val="22"/>
          <w:lang w:eastAsia="cs-CZ"/>
        </w:rPr>
        <w:t>R</w:t>
      </w:r>
      <w:r w:rsidRPr="008D5481">
        <w:rPr>
          <w:rFonts w:ascii="Times New Roman" w:hAnsi="Times New Roman"/>
          <w:sz w:val="22"/>
          <w:szCs w:val="22"/>
          <w:lang w:eastAsia="cs-CZ"/>
        </w:rPr>
        <w:t xml:space="preserve">O uplatňuje politiku nulovej tolerancie voči podvodom a korupcii a má zavedený spoľahlivý systém kontroly, ktorý je navrhnutý tak, aby sa v najväčšej možnej miere predchádzalo podvodom a aby sa zabezpečilo ich odhalenie a náprava dôsledkov, v prípade, že k nim dôjde. </w:t>
      </w:r>
    </w:p>
    <w:p w14:paraId="2D399838" w14:textId="16B4806D" w:rsidR="00383B50" w:rsidRPr="008D5481" w:rsidRDefault="00383B50" w:rsidP="008D5481">
      <w:pPr>
        <w:spacing w:before="120" w:line="276" w:lineRule="auto"/>
        <w:jc w:val="both"/>
        <w:rPr>
          <w:rFonts w:ascii="Times New Roman" w:hAnsi="Times New Roman"/>
          <w:sz w:val="22"/>
          <w:szCs w:val="22"/>
          <w:lang w:eastAsia="cs-CZ"/>
        </w:rPr>
      </w:pPr>
      <w:r w:rsidRPr="008D5481">
        <w:rPr>
          <w:rFonts w:ascii="Times New Roman" w:hAnsi="Times New Roman"/>
          <w:sz w:val="22"/>
          <w:szCs w:val="22"/>
          <w:lang w:eastAsia="cs-CZ"/>
        </w:rPr>
        <w:t xml:space="preserve">Úlohou </w:t>
      </w:r>
      <w:r w:rsidR="0096732F" w:rsidRPr="008D5481">
        <w:rPr>
          <w:rFonts w:ascii="Times New Roman" w:hAnsi="Times New Roman"/>
          <w:sz w:val="22"/>
          <w:szCs w:val="22"/>
          <w:lang w:eastAsia="cs-CZ"/>
        </w:rPr>
        <w:t>R</w:t>
      </w:r>
      <w:r w:rsidR="00CA77D1" w:rsidRPr="008D5481">
        <w:rPr>
          <w:rFonts w:ascii="Times New Roman" w:hAnsi="Times New Roman"/>
          <w:sz w:val="22"/>
          <w:szCs w:val="22"/>
          <w:lang w:eastAsia="cs-CZ"/>
        </w:rPr>
        <w:t xml:space="preserve">O </w:t>
      </w:r>
      <w:r w:rsidRPr="008D5481">
        <w:rPr>
          <w:rFonts w:ascii="Times New Roman" w:hAnsi="Times New Roman"/>
          <w:sz w:val="22"/>
          <w:szCs w:val="22"/>
          <w:lang w:eastAsia="cs-CZ"/>
        </w:rPr>
        <w:t xml:space="preserve">v oblasti boja proti podvodom je uplatňovať legálne, etické a morálne štandardy, dodržiavať princípy integrity, objektivity a poctivosti, zaviesť v rámci svojich systémov riadenia a kontroly účinné a primerané opatrenia v boji proti podvodom, pri zohľadnení identifikovaných rizík. </w:t>
      </w:r>
    </w:p>
    <w:p w14:paraId="17380890" w14:textId="40F866D5" w:rsidR="00557670" w:rsidRPr="008D5481" w:rsidRDefault="00383B50" w:rsidP="008D5481">
      <w:pPr>
        <w:spacing w:before="120" w:line="276" w:lineRule="auto"/>
        <w:jc w:val="both"/>
        <w:rPr>
          <w:rFonts w:ascii="Times New Roman" w:hAnsi="Times New Roman"/>
          <w:sz w:val="22"/>
          <w:szCs w:val="22"/>
          <w:lang w:eastAsia="cs-CZ"/>
        </w:rPr>
      </w:pPr>
      <w:r w:rsidRPr="008D5481">
        <w:rPr>
          <w:rFonts w:ascii="Times New Roman" w:hAnsi="Times New Roman"/>
          <w:sz w:val="22"/>
          <w:szCs w:val="22"/>
          <w:lang w:eastAsia="cs-CZ"/>
        </w:rPr>
        <w:lastRenderedPageBreak/>
        <w:t>Cieľom je zabraňovať vzniku podvodom prostredníctvom štruktúrovaného prístupu pozostávajúceho zo štyroch základných prvkov: prevencia - predchádzanie podvodom a nezrovnalostiam, detekcia, náprava a stíhanie.</w:t>
      </w:r>
      <w:bookmarkStart w:id="35" w:name="_Toc45873734"/>
      <w:bookmarkStart w:id="36" w:name="_Toc420332622"/>
    </w:p>
    <w:p w14:paraId="2D39983B" w14:textId="25AF8062" w:rsidR="00383B50" w:rsidRPr="00450DEB" w:rsidRDefault="00557670" w:rsidP="008A7BA8">
      <w:pPr>
        <w:pStyle w:val="tl4"/>
        <w:ind w:firstLine="284"/>
        <w:rPr>
          <w:color w:val="0070C0"/>
          <w:sz w:val="22"/>
          <w:szCs w:val="22"/>
        </w:rPr>
      </w:pPr>
      <w:bookmarkStart w:id="37" w:name="_Toc97642167"/>
      <w:r w:rsidRPr="00450DEB">
        <w:rPr>
          <w:color w:val="0070C0"/>
          <w:sz w:val="22"/>
          <w:szCs w:val="22"/>
        </w:rPr>
        <w:t xml:space="preserve">6.1 </w:t>
      </w:r>
      <w:r w:rsidR="00383B50" w:rsidRPr="00450DEB">
        <w:rPr>
          <w:color w:val="0070C0"/>
          <w:sz w:val="22"/>
          <w:szCs w:val="22"/>
        </w:rPr>
        <w:t>P</w:t>
      </w:r>
      <w:r w:rsidR="00336E4F" w:rsidRPr="00450DEB">
        <w:rPr>
          <w:color w:val="0070C0"/>
          <w:sz w:val="22"/>
          <w:szCs w:val="22"/>
        </w:rPr>
        <w:t>REVENCIA</w:t>
      </w:r>
      <w:bookmarkEnd w:id="35"/>
      <w:bookmarkEnd w:id="37"/>
    </w:p>
    <w:bookmarkEnd w:id="36"/>
    <w:p w14:paraId="2D39983C" w14:textId="426E9258" w:rsidR="00383B50" w:rsidRPr="000D59C3" w:rsidRDefault="00383B50" w:rsidP="00C3571B">
      <w:pPr>
        <w:spacing w:before="120" w:line="276" w:lineRule="auto"/>
        <w:jc w:val="both"/>
        <w:rPr>
          <w:rFonts w:ascii="Times New Roman" w:hAnsi="Times New Roman"/>
          <w:sz w:val="22"/>
          <w:szCs w:val="22"/>
          <w:lang w:eastAsia="cs-CZ"/>
        </w:rPr>
      </w:pPr>
      <w:r w:rsidRPr="00450DEB">
        <w:rPr>
          <w:rFonts w:ascii="Times New Roman" w:hAnsi="Times New Roman"/>
          <w:sz w:val="22"/>
          <w:szCs w:val="22"/>
          <w:lang w:eastAsia="cs-CZ"/>
        </w:rPr>
        <w:t>V zmysle čl. 63 ods. 2 nariadenia EP a Rady č. 2018/1046</w:t>
      </w:r>
      <w:r w:rsidR="000167AA">
        <w:rPr>
          <w:rStyle w:val="Odkaznapoznmkupodiarou"/>
          <w:szCs w:val="22"/>
          <w:lang w:eastAsia="cs-CZ"/>
        </w:rPr>
        <w:footnoteReference w:id="8"/>
      </w:r>
      <w:r w:rsidRPr="00450DEB">
        <w:rPr>
          <w:rFonts w:ascii="Times New Roman" w:hAnsi="Times New Roman"/>
          <w:sz w:val="22"/>
          <w:szCs w:val="22"/>
          <w:lang w:eastAsia="cs-CZ"/>
        </w:rPr>
        <w:t xml:space="preserve"> je SR</w:t>
      </w:r>
      <w:r w:rsidRPr="000D59C3">
        <w:rPr>
          <w:rFonts w:ascii="Times New Roman" w:hAnsi="Times New Roman"/>
          <w:sz w:val="22"/>
          <w:szCs w:val="22"/>
          <w:lang w:eastAsia="cs-CZ"/>
        </w:rPr>
        <w:t xml:space="preserve"> povinná prijať všetky potrebné opatrenia vrátane legislatívnych, regulačných a administratívnych opatrení na ochranu finančných záujmov EÚ, a to vrátane predchádzania nezrovnalostiam a podvodom, ich odhaľovaniu a zaisteniu nápravy.</w:t>
      </w:r>
    </w:p>
    <w:p w14:paraId="2D39983D" w14:textId="5397F24F" w:rsidR="00383B50" w:rsidRPr="00BE4609" w:rsidRDefault="00383B50" w:rsidP="00C3571B">
      <w:pPr>
        <w:spacing w:before="120" w:line="276" w:lineRule="auto"/>
        <w:jc w:val="both"/>
        <w:rPr>
          <w:rFonts w:ascii="Times New Roman" w:hAnsi="Times New Roman"/>
          <w:sz w:val="22"/>
          <w:szCs w:val="22"/>
          <w:lang w:eastAsia="cs-CZ"/>
        </w:rPr>
      </w:pPr>
      <w:r w:rsidRPr="00BE4609">
        <w:rPr>
          <w:rFonts w:ascii="Times New Roman" w:hAnsi="Times New Roman"/>
          <w:sz w:val="22"/>
          <w:szCs w:val="22"/>
          <w:lang w:eastAsia="cs-CZ"/>
        </w:rPr>
        <w:t xml:space="preserve">Prevencia má zabrániť vzniku stavu (obmedziť faktory vedúce k vzniku podvodu – motív/tlak, príležitosť, zdôvodnenie), pri ktorom dochádza k ohrozeniu alebo poškodzovaniu finančných záujmov EÚ a </w:t>
      </w:r>
      <w:r w:rsidR="00BE4609" w:rsidRPr="00450DEB">
        <w:rPr>
          <w:rFonts w:ascii="Times New Roman" w:hAnsi="Times New Roman"/>
          <w:sz w:val="22"/>
          <w:szCs w:val="22"/>
          <w:lang w:eastAsia="cs-CZ"/>
        </w:rPr>
        <w:t>S</w:t>
      </w:r>
      <w:r w:rsidRPr="00BE4609">
        <w:rPr>
          <w:rFonts w:ascii="Times New Roman" w:hAnsi="Times New Roman"/>
          <w:sz w:val="22"/>
          <w:szCs w:val="22"/>
          <w:lang w:eastAsia="cs-CZ"/>
        </w:rPr>
        <w:t>R prostredníctvom podvodných praktík. Základom prevencie v oblasti boja proti podvodom sú účinné právne predpisy a systémy riadenia a kontroly zamerané na ochranu verejných záujmov, ktoré obsahujú prvky posilňujúce riadne finančné hospodárenie.</w:t>
      </w:r>
    </w:p>
    <w:p w14:paraId="2D39983E" w14:textId="0C4A0E7D" w:rsidR="00383B50" w:rsidRPr="00BE4609" w:rsidRDefault="00383B50" w:rsidP="00C3571B">
      <w:pPr>
        <w:spacing w:before="120" w:line="276" w:lineRule="auto"/>
        <w:jc w:val="both"/>
        <w:rPr>
          <w:rFonts w:ascii="Times New Roman" w:hAnsi="Times New Roman"/>
          <w:sz w:val="22"/>
          <w:szCs w:val="22"/>
          <w:lang w:eastAsia="cs-CZ"/>
        </w:rPr>
      </w:pPr>
      <w:r w:rsidRPr="00BE4609">
        <w:rPr>
          <w:rFonts w:ascii="Times New Roman" w:hAnsi="Times New Roman"/>
          <w:sz w:val="22"/>
          <w:szCs w:val="22"/>
          <w:lang w:eastAsia="cs-CZ"/>
        </w:rPr>
        <w:t>Vzhľadom na ťažkosti pri dokazovaní podvodného konania a náprave poškodenia dobrého mena dotknutých subjektov je žiad</w:t>
      </w:r>
      <w:r w:rsidR="00ED588D" w:rsidRPr="00BE4609">
        <w:rPr>
          <w:rFonts w:ascii="Times New Roman" w:hAnsi="Times New Roman"/>
          <w:sz w:val="22"/>
          <w:szCs w:val="22"/>
          <w:lang w:eastAsia="cs-CZ"/>
        </w:rPr>
        <w:t>ú</w:t>
      </w:r>
      <w:r w:rsidRPr="00BE4609">
        <w:rPr>
          <w:rFonts w:ascii="Times New Roman" w:hAnsi="Times New Roman"/>
          <w:sz w:val="22"/>
          <w:szCs w:val="22"/>
          <w:lang w:eastAsia="cs-CZ"/>
        </w:rPr>
        <w:t>ce, aby sa zabránilo podvodnému konaniu prostredníctvom preventívnych opatrení zameraných na obmedzovanie príležitostí k páchaniu podvodov.</w:t>
      </w:r>
    </w:p>
    <w:p w14:paraId="2D39983F" w14:textId="073797B2" w:rsidR="00383B50" w:rsidRPr="00BE4609" w:rsidRDefault="00383B50" w:rsidP="00C3571B">
      <w:pPr>
        <w:spacing w:before="120" w:line="276" w:lineRule="auto"/>
        <w:jc w:val="both"/>
        <w:rPr>
          <w:rFonts w:ascii="Times New Roman" w:hAnsi="Times New Roman"/>
          <w:sz w:val="22"/>
          <w:szCs w:val="22"/>
          <w:lang w:eastAsia="cs-CZ"/>
        </w:rPr>
      </w:pPr>
      <w:r w:rsidRPr="00BE4609">
        <w:rPr>
          <w:rFonts w:ascii="Times New Roman" w:hAnsi="Times New Roman"/>
          <w:sz w:val="22"/>
          <w:szCs w:val="22"/>
          <w:lang w:eastAsia="cs-CZ"/>
        </w:rPr>
        <w:t>Opatrenia zavádzané</w:t>
      </w:r>
      <w:r w:rsidR="00CA77D1" w:rsidRPr="00BE4609">
        <w:rPr>
          <w:rFonts w:ascii="Times New Roman" w:hAnsi="Times New Roman"/>
          <w:sz w:val="22"/>
          <w:szCs w:val="22"/>
          <w:lang w:eastAsia="cs-CZ"/>
        </w:rPr>
        <w:t xml:space="preserve"> v oblasti prevencie zo strany </w:t>
      </w:r>
      <w:r w:rsidR="00D612BA" w:rsidRPr="00BE4609">
        <w:rPr>
          <w:rFonts w:ascii="Times New Roman" w:hAnsi="Times New Roman"/>
          <w:sz w:val="22"/>
          <w:szCs w:val="22"/>
          <w:lang w:eastAsia="cs-CZ"/>
        </w:rPr>
        <w:t>R</w:t>
      </w:r>
      <w:r w:rsidRPr="00BE4609">
        <w:rPr>
          <w:rFonts w:ascii="Times New Roman" w:hAnsi="Times New Roman"/>
          <w:sz w:val="22"/>
          <w:szCs w:val="22"/>
          <w:lang w:eastAsia="cs-CZ"/>
        </w:rPr>
        <w:t>O možno rozdeliť do dvoch hlavných skupín:</w:t>
      </w:r>
    </w:p>
    <w:p w14:paraId="2D399840" w14:textId="77777777" w:rsidR="00383B50" w:rsidRPr="00566C2B" w:rsidRDefault="00383B50" w:rsidP="00C3571B">
      <w:pPr>
        <w:pStyle w:val="Nadpis4"/>
        <w:spacing w:line="276" w:lineRule="auto"/>
        <w:ind w:left="0" w:firstLine="0"/>
        <w:rPr>
          <w:rFonts w:ascii="Times New Roman" w:hAnsi="Times New Roman"/>
          <w:b/>
          <w:bCs/>
          <w:sz w:val="22"/>
          <w:szCs w:val="22"/>
        </w:rPr>
      </w:pPr>
      <w:r w:rsidRPr="00566C2B">
        <w:rPr>
          <w:rFonts w:ascii="Times New Roman" w:hAnsi="Times New Roman"/>
          <w:b/>
          <w:bCs/>
          <w:sz w:val="22"/>
          <w:szCs w:val="22"/>
        </w:rPr>
        <w:t>Presadzovanie kultúry odmietajúcej podvodné konanie</w:t>
      </w:r>
    </w:p>
    <w:p w14:paraId="25C2F79D" w14:textId="6B43F5B1" w:rsidR="008277EF" w:rsidRPr="00AF4EE4" w:rsidRDefault="00E72F75" w:rsidP="00AF4EE4">
      <w:pPr>
        <w:numPr>
          <w:ilvl w:val="0"/>
          <w:numId w:val="11"/>
        </w:numPr>
        <w:spacing w:before="120" w:line="276" w:lineRule="auto"/>
        <w:ind w:left="714" w:hanging="357"/>
        <w:jc w:val="both"/>
        <w:rPr>
          <w:rFonts w:ascii="Times New Roman" w:hAnsi="Times New Roman"/>
          <w:sz w:val="22"/>
          <w:szCs w:val="22"/>
          <w:lang w:eastAsia="cs-CZ"/>
        </w:rPr>
      </w:pPr>
      <w:r w:rsidRPr="00566C2B">
        <w:rPr>
          <w:rFonts w:ascii="Times New Roman" w:hAnsi="Times New Roman"/>
          <w:sz w:val="22"/>
          <w:szCs w:val="22"/>
          <w:lang w:eastAsia="cs-CZ"/>
        </w:rPr>
        <w:t>R</w:t>
      </w:r>
      <w:r w:rsidR="00D32563" w:rsidRPr="00566C2B">
        <w:rPr>
          <w:rFonts w:ascii="Times New Roman" w:hAnsi="Times New Roman"/>
          <w:sz w:val="22"/>
          <w:szCs w:val="22"/>
          <w:lang w:eastAsia="cs-CZ"/>
        </w:rPr>
        <w:t xml:space="preserve">O </w:t>
      </w:r>
      <w:r w:rsidR="00383B50" w:rsidRPr="00566C2B">
        <w:rPr>
          <w:rFonts w:ascii="Times New Roman" w:hAnsi="Times New Roman"/>
          <w:sz w:val="22"/>
          <w:szCs w:val="22"/>
          <w:lang w:eastAsia="cs-CZ"/>
        </w:rPr>
        <w:t xml:space="preserve">vo všetkých rozhodovacích procesoch </w:t>
      </w:r>
      <w:r w:rsidR="00423FFC" w:rsidRPr="00566C2B">
        <w:rPr>
          <w:rFonts w:ascii="Times New Roman" w:hAnsi="Times New Roman"/>
          <w:sz w:val="22"/>
          <w:szCs w:val="22"/>
          <w:lang w:eastAsia="cs-CZ"/>
        </w:rPr>
        <w:t>dbá</w:t>
      </w:r>
      <w:r w:rsidR="00383B50" w:rsidRPr="00566C2B">
        <w:rPr>
          <w:rFonts w:ascii="Times New Roman" w:hAnsi="Times New Roman"/>
          <w:sz w:val="22"/>
          <w:szCs w:val="22"/>
          <w:lang w:eastAsia="cs-CZ"/>
        </w:rPr>
        <w:t xml:space="preserve"> na to, aby u zainteresovaných osôb vystupujúcich na strane žiadateľov a osôb vystupujúcich na stane rozhodujúcich a hodnotiacich subjektov nedochádzalo k </w:t>
      </w:r>
      <w:r w:rsidR="00383B50" w:rsidRPr="00450DEB">
        <w:rPr>
          <w:rFonts w:ascii="Times New Roman" w:hAnsi="Times New Roman"/>
          <w:b/>
          <w:sz w:val="22"/>
          <w:szCs w:val="22"/>
          <w:lang w:eastAsia="cs-CZ"/>
        </w:rPr>
        <w:t>stretu verejných a súkromných záujmov</w:t>
      </w:r>
      <w:r w:rsidR="00383B50" w:rsidRPr="00566C2B">
        <w:rPr>
          <w:rFonts w:ascii="Times New Roman" w:hAnsi="Times New Roman"/>
          <w:sz w:val="22"/>
          <w:szCs w:val="22"/>
          <w:lang w:eastAsia="cs-CZ"/>
        </w:rPr>
        <w:t xml:space="preserve"> (k zaujatosti); každá zainteresovaná osoba je povinná zaujatosť </w:t>
      </w:r>
      <w:r w:rsidR="00566C2B" w:rsidRPr="00450DEB">
        <w:rPr>
          <w:rFonts w:ascii="Times New Roman" w:hAnsi="Times New Roman"/>
          <w:b/>
          <w:sz w:val="22"/>
          <w:szCs w:val="22"/>
          <w:lang w:eastAsia="cs-CZ"/>
        </w:rPr>
        <w:t xml:space="preserve">písomne </w:t>
      </w:r>
      <w:r w:rsidR="008A1C8B" w:rsidRPr="00450DEB">
        <w:rPr>
          <w:rFonts w:ascii="Times New Roman" w:hAnsi="Times New Roman"/>
          <w:bCs/>
          <w:sz w:val="22"/>
          <w:szCs w:val="22"/>
          <w:lang w:eastAsia="cs-CZ"/>
        </w:rPr>
        <w:t xml:space="preserve">bezodkladne </w:t>
      </w:r>
      <w:r w:rsidR="00383B50" w:rsidRPr="00450DEB">
        <w:rPr>
          <w:rFonts w:ascii="Times New Roman" w:hAnsi="Times New Roman"/>
          <w:b/>
          <w:sz w:val="22"/>
          <w:szCs w:val="22"/>
          <w:lang w:eastAsia="cs-CZ"/>
        </w:rPr>
        <w:t>oznámiť</w:t>
      </w:r>
      <w:r w:rsidR="008A1C8B">
        <w:rPr>
          <w:rFonts w:ascii="Times New Roman" w:hAnsi="Times New Roman"/>
          <w:b/>
          <w:sz w:val="22"/>
          <w:szCs w:val="22"/>
          <w:lang w:eastAsia="cs-CZ"/>
        </w:rPr>
        <w:t xml:space="preserve"> </w:t>
      </w:r>
      <w:r w:rsidR="008A1C8B">
        <w:rPr>
          <w:rFonts w:ascii="Times New Roman" w:hAnsi="Times New Roman"/>
          <w:bCs/>
          <w:sz w:val="22"/>
          <w:szCs w:val="22"/>
          <w:lang w:eastAsia="cs-CZ"/>
        </w:rPr>
        <w:t>RO</w:t>
      </w:r>
      <w:r w:rsidR="008A1C8B" w:rsidRPr="00450DEB">
        <w:rPr>
          <w:rFonts w:ascii="Times New Roman" w:hAnsi="Times New Roman"/>
          <w:bCs/>
          <w:sz w:val="22"/>
          <w:szCs w:val="22"/>
          <w:lang w:eastAsia="cs-CZ"/>
        </w:rPr>
        <w:t>.</w:t>
      </w:r>
      <w:r w:rsidR="00383B50" w:rsidRPr="00566C2B">
        <w:rPr>
          <w:rFonts w:ascii="Times New Roman" w:hAnsi="Times New Roman"/>
          <w:sz w:val="22"/>
          <w:szCs w:val="22"/>
          <w:lang w:eastAsia="cs-CZ"/>
        </w:rPr>
        <w:t xml:space="preserve"> </w:t>
      </w:r>
      <w:r w:rsidR="008A1C8B">
        <w:rPr>
          <w:rFonts w:ascii="Times New Roman" w:hAnsi="Times New Roman"/>
          <w:sz w:val="22"/>
          <w:szCs w:val="22"/>
          <w:lang w:eastAsia="cs-CZ"/>
        </w:rPr>
        <w:t xml:space="preserve">Ak je touto osobou zamestnanec RO, písomne oznámi túto skutočnosť </w:t>
      </w:r>
      <w:r w:rsidR="008A1C8B" w:rsidRPr="008A1C8B">
        <w:rPr>
          <w:rFonts w:ascii="Times New Roman" w:hAnsi="Times New Roman"/>
          <w:sz w:val="22"/>
          <w:szCs w:val="22"/>
          <w:lang w:eastAsia="cs-CZ"/>
        </w:rPr>
        <w:t xml:space="preserve">svojmu </w:t>
      </w:r>
      <w:r w:rsidR="00383B50" w:rsidRPr="008A1C8B">
        <w:rPr>
          <w:rFonts w:ascii="Times New Roman" w:hAnsi="Times New Roman"/>
          <w:sz w:val="22"/>
          <w:szCs w:val="22"/>
          <w:lang w:eastAsia="cs-CZ"/>
        </w:rPr>
        <w:t xml:space="preserve">príslušnému </w:t>
      </w:r>
      <w:r w:rsidR="008A1C8B" w:rsidRPr="00450DEB">
        <w:rPr>
          <w:rFonts w:ascii="Times New Roman" w:hAnsi="Times New Roman"/>
          <w:sz w:val="22"/>
          <w:szCs w:val="22"/>
          <w:lang w:eastAsia="cs-CZ"/>
        </w:rPr>
        <w:t xml:space="preserve">najbližšiemu </w:t>
      </w:r>
      <w:r w:rsidR="00383B50" w:rsidRPr="008A1C8B">
        <w:rPr>
          <w:rFonts w:ascii="Times New Roman" w:hAnsi="Times New Roman"/>
          <w:sz w:val="22"/>
          <w:szCs w:val="22"/>
          <w:lang w:eastAsia="cs-CZ"/>
        </w:rPr>
        <w:t>nadriadenému zamestnancovi</w:t>
      </w:r>
      <w:r w:rsidR="008A1C8B" w:rsidRPr="008A1C8B">
        <w:rPr>
          <w:rFonts w:ascii="Times New Roman" w:hAnsi="Times New Roman"/>
          <w:sz w:val="22"/>
          <w:szCs w:val="22"/>
          <w:lang w:eastAsia="cs-CZ"/>
        </w:rPr>
        <w:t xml:space="preserve"> ako aj generálnemu riaditeľovi príslušnej</w:t>
      </w:r>
      <w:r w:rsidR="008A1C8B">
        <w:rPr>
          <w:rFonts w:ascii="Times New Roman" w:hAnsi="Times New Roman"/>
          <w:sz w:val="22"/>
          <w:szCs w:val="22"/>
          <w:lang w:eastAsia="cs-CZ"/>
        </w:rPr>
        <w:t xml:space="preserve"> sekcie ministerstva</w:t>
      </w:r>
      <w:r w:rsidR="00383B50" w:rsidRPr="00566C2B">
        <w:rPr>
          <w:rFonts w:ascii="Times New Roman" w:hAnsi="Times New Roman"/>
          <w:sz w:val="22"/>
          <w:szCs w:val="22"/>
          <w:lang w:eastAsia="cs-CZ"/>
        </w:rPr>
        <w:t xml:space="preserve"> ihneď ako sa o ňom dozvie</w:t>
      </w:r>
      <w:r w:rsidR="008277EF">
        <w:rPr>
          <w:rFonts w:ascii="Times New Roman" w:hAnsi="Times New Roman"/>
          <w:sz w:val="22"/>
          <w:szCs w:val="22"/>
          <w:lang w:eastAsia="cs-CZ"/>
        </w:rPr>
        <w:t xml:space="preserve">. </w:t>
      </w:r>
      <w:r w:rsidR="00AF4EE4">
        <w:rPr>
          <w:rFonts w:ascii="Times New Roman" w:hAnsi="Times New Roman"/>
          <w:sz w:val="22"/>
          <w:szCs w:val="22"/>
          <w:lang w:eastAsia="cs-CZ"/>
        </w:rPr>
        <w:t>Riadiaci orgán vylúči osobu, ktorá je v konflikte záujmov, na základe oznámenia alebo z vlastného podnetu. RO o vylúčení písomne informuje vylúčenú osobu a vylúčená osoba sa na činnostiach, ktorých sa konflikt záujmov týka, ďalej nezúčastňuje. RO je povinný archivovať písomný záznam z vyhodnotenia situácie nasvedčujúcej konflikt záujmov spolu s podpornou dokumentáciou.</w:t>
      </w:r>
    </w:p>
    <w:p w14:paraId="2D399842" w14:textId="392D1DB0" w:rsidR="00383B50" w:rsidRPr="0038478A" w:rsidRDefault="00DE2D6A" w:rsidP="00450DEB">
      <w:pPr>
        <w:tabs>
          <w:tab w:val="left" w:pos="1418"/>
        </w:tabs>
        <w:spacing w:before="120" w:line="276" w:lineRule="auto"/>
        <w:ind w:left="709" w:hanging="352"/>
        <w:jc w:val="both"/>
        <w:rPr>
          <w:rFonts w:ascii="Times New Roman" w:hAnsi="Times New Roman"/>
          <w:sz w:val="22"/>
          <w:szCs w:val="22"/>
          <w:lang w:eastAsia="cs-CZ"/>
        </w:rPr>
      </w:pPr>
      <w:r>
        <w:rPr>
          <w:rFonts w:ascii="Times New Roman" w:hAnsi="Times New Roman"/>
          <w:sz w:val="22"/>
          <w:szCs w:val="22"/>
          <w:lang w:eastAsia="cs-CZ"/>
        </w:rPr>
        <w:t xml:space="preserve">B.  </w:t>
      </w:r>
      <w:r w:rsidR="00383B50" w:rsidRPr="0038478A">
        <w:rPr>
          <w:rFonts w:ascii="Times New Roman" w:hAnsi="Times New Roman"/>
          <w:sz w:val="22"/>
          <w:szCs w:val="22"/>
          <w:lang w:eastAsia="cs-CZ"/>
        </w:rPr>
        <w:t xml:space="preserve">v zmysle Zákona o štátnej službe a služobnej zmluvy je štátny zamestnanec povinný </w:t>
      </w:r>
      <w:r w:rsidR="00383B50" w:rsidRPr="00450DEB">
        <w:rPr>
          <w:rFonts w:ascii="Times New Roman" w:hAnsi="Times New Roman"/>
          <w:b/>
          <w:sz w:val="22"/>
          <w:szCs w:val="22"/>
          <w:lang w:eastAsia="cs-CZ"/>
        </w:rPr>
        <w:t>zachovať mlčanlivosť o skutočnostiach, o ktorých sa dozvedel v súvislosti s vykonávaním štátnej služby, a ktoré v záujme služobného úradu nemožno oznamovať iným osobám</w:t>
      </w:r>
      <w:r w:rsidR="00383B50" w:rsidRPr="0038478A">
        <w:rPr>
          <w:rFonts w:ascii="Times New Roman" w:hAnsi="Times New Roman"/>
          <w:sz w:val="22"/>
          <w:szCs w:val="22"/>
          <w:lang w:eastAsia="cs-CZ"/>
        </w:rPr>
        <w:t xml:space="preserve">; zdržať sa konania, ktoré by mohlo viesť ku konfliktu záujmov služobného úradu s osobnými  záujmami, najmä nezneužívať informácie získané v súvislosti s vykonávaním štátnej služby na vlastný prospech alebo na prospech iného; </w:t>
      </w:r>
    </w:p>
    <w:p w14:paraId="2D399843" w14:textId="12D8AE40" w:rsidR="00383B50" w:rsidRPr="00450DEB" w:rsidRDefault="00383B50" w:rsidP="00450DEB">
      <w:pPr>
        <w:pStyle w:val="Odsekzoznamu"/>
        <w:numPr>
          <w:ilvl w:val="0"/>
          <w:numId w:val="6"/>
        </w:numPr>
        <w:spacing w:before="120" w:line="276" w:lineRule="auto"/>
        <w:jc w:val="both"/>
        <w:rPr>
          <w:rFonts w:ascii="Times New Roman" w:hAnsi="Times New Roman"/>
          <w:sz w:val="22"/>
        </w:rPr>
      </w:pPr>
      <w:r w:rsidRPr="00450DEB">
        <w:rPr>
          <w:rFonts w:ascii="Times New Roman" w:hAnsi="Times New Roman"/>
          <w:b/>
          <w:sz w:val="22"/>
        </w:rPr>
        <w:t xml:space="preserve">zvyšovanie povedomia o podvodoch a možných rizikách vzniku podvodov medzi zamestnancami </w:t>
      </w:r>
      <w:r w:rsidR="00E72F75" w:rsidRPr="00450DEB">
        <w:rPr>
          <w:rFonts w:ascii="Times New Roman" w:hAnsi="Times New Roman"/>
          <w:b/>
          <w:sz w:val="22"/>
        </w:rPr>
        <w:t>R</w:t>
      </w:r>
      <w:r w:rsidR="00CA77D1" w:rsidRPr="00450DEB">
        <w:rPr>
          <w:rFonts w:ascii="Times New Roman" w:hAnsi="Times New Roman"/>
          <w:b/>
          <w:sz w:val="22"/>
        </w:rPr>
        <w:t>O</w:t>
      </w:r>
      <w:r w:rsidRPr="00450DEB">
        <w:rPr>
          <w:rFonts w:ascii="Times New Roman" w:hAnsi="Times New Roman"/>
          <w:sz w:val="22"/>
        </w:rPr>
        <w:t xml:space="preserve"> (napr. prostredníctvom školení, samoštúdia, distribúciou kontaktov na </w:t>
      </w:r>
      <w:r w:rsidRPr="00450DEB">
        <w:rPr>
          <w:rFonts w:ascii="Times New Roman" w:hAnsi="Times New Roman"/>
          <w:sz w:val="22"/>
        </w:rPr>
        <w:lastRenderedPageBreak/>
        <w:t xml:space="preserve">nahlasovanie podvodov a nezrovnalostí, aktívnou spoluprácou s odborom </w:t>
      </w:r>
      <w:r w:rsidR="00A64AB1" w:rsidRPr="00450DEB">
        <w:rPr>
          <w:rFonts w:ascii="Times New Roman" w:hAnsi="Times New Roman"/>
          <w:sz w:val="22"/>
        </w:rPr>
        <w:t xml:space="preserve">Národný úrad </w:t>
      </w:r>
      <w:r w:rsidRPr="00450DEB">
        <w:rPr>
          <w:rFonts w:ascii="Times New Roman" w:hAnsi="Times New Roman"/>
          <w:sz w:val="22"/>
        </w:rPr>
        <w:t xml:space="preserve">pre OLAF); </w:t>
      </w:r>
    </w:p>
    <w:p w14:paraId="72359CBB" w14:textId="7F8A12B7" w:rsidR="00DC12F8" w:rsidRPr="0038478A" w:rsidRDefault="00DC12F8" w:rsidP="00450DEB">
      <w:pPr>
        <w:numPr>
          <w:ilvl w:val="0"/>
          <w:numId w:val="6"/>
        </w:numPr>
        <w:spacing w:before="120" w:line="276" w:lineRule="auto"/>
        <w:ind w:left="714" w:hanging="357"/>
        <w:jc w:val="both"/>
        <w:rPr>
          <w:rFonts w:ascii="Times New Roman" w:hAnsi="Times New Roman"/>
          <w:sz w:val="22"/>
          <w:szCs w:val="22"/>
          <w:lang w:eastAsia="cs-CZ"/>
        </w:rPr>
      </w:pPr>
      <w:r w:rsidRPr="00450DEB">
        <w:rPr>
          <w:rFonts w:ascii="Times New Roman" w:hAnsi="Times New Roman"/>
          <w:b/>
          <w:sz w:val="22"/>
          <w:szCs w:val="22"/>
          <w:lang w:eastAsia="cs-CZ"/>
        </w:rPr>
        <w:t>zavedenie Politiky boja proti podvodom</w:t>
      </w:r>
      <w:r w:rsidRPr="0038478A">
        <w:rPr>
          <w:rFonts w:ascii="Times New Roman" w:hAnsi="Times New Roman"/>
          <w:sz w:val="22"/>
          <w:szCs w:val="22"/>
          <w:lang w:eastAsia="cs-CZ"/>
        </w:rPr>
        <w:t xml:space="preserve"> (viď. príloha č.3)</w:t>
      </w:r>
    </w:p>
    <w:p w14:paraId="6EFCEB84" w14:textId="5EC31527" w:rsidR="00DC12F8" w:rsidRPr="0038478A" w:rsidRDefault="00DC12F8" w:rsidP="00450DEB">
      <w:pPr>
        <w:numPr>
          <w:ilvl w:val="0"/>
          <w:numId w:val="6"/>
        </w:numPr>
        <w:spacing w:before="120" w:line="276" w:lineRule="auto"/>
        <w:ind w:left="709"/>
        <w:jc w:val="both"/>
        <w:rPr>
          <w:rFonts w:ascii="Times New Roman" w:hAnsi="Times New Roman"/>
          <w:sz w:val="22"/>
          <w:szCs w:val="22"/>
          <w:lang w:eastAsia="cs-CZ"/>
        </w:rPr>
      </w:pPr>
      <w:r w:rsidRPr="0038478A">
        <w:rPr>
          <w:rFonts w:ascii="Times New Roman" w:hAnsi="Times New Roman"/>
          <w:sz w:val="22"/>
          <w:szCs w:val="22"/>
          <w:lang w:eastAsia="cs-CZ"/>
        </w:rPr>
        <w:t xml:space="preserve">zavedenie pravidla </w:t>
      </w:r>
      <w:r w:rsidRPr="00450DEB">
        <w:rPr>
          <w:rFonts w:ascii="Times New Roman" w:hAnsi="Times New Roman"/>
          <w:b/>
          <w:sz w:val="22"/>
          <w:szCs w:val="22"/>
          <w:lang w:eastAsia="cs-CZ"/>
        </w:rPr>
        <w:t>zákazu konfliktu záujmov</w:t>
      </w:r>
      <w:r w:rsidRPr="0038478A">
        <w:rPr>
          <w:rFonts w:ascii="Times New Roman" w:hAnsi="Times New Roman"/>
          <w:sz w:val="22"/>
          <w:szCs w:val="22"/>
          <w:lang w:eastAsia="cs-CZ"/>
        </w:rPr>
        <w:t xml:space="preserve"> (viď. </w:t>
      </w:r>
      <w:r w:rsidR="0038478A">
        <w:rPr>
          <w:rFonts w:ascii="Times New Roman" w:hAnsi="Times New Roman"/>
          <w:sz w:val="22"/>
          <w:szCs w:val="22"/>
          <w:lang w:eastAsia="cs-CZ"/>
        </w:rPr>
        <w:t>M</w:t>
      </w:r>
      <w:r w:rsidRPr="0038478A">
        <w:rPr>
          <w:rFonts w:ascii="Times New Roman" w:hAnsi="Times New Roman"/>
          <w:sz w:val="22"/>
          <w:szCs w:val="22"/>
          <w:lang w:eastAsia="cs-CZ"/>
        </w:rPr>
        <w:t xml:space="preserve">anuál </w:t>
      </w:r>
      <w:r w:rsidR="0038478A">
        <w:rPr>
          <w:rFonts w:ascii="Times New Roman" w:hAnsi="Times New Roman"/>
          <w:sz w:val="22"/>
          <w:szCs w:val="22"/>
          <w:lang w:eastAsia="cs-CZ"/>
        </w:rPr>
        <w:t>procedúr</w:t>
      </w:r>
      <w:r w:rsidR="00E311FA">
        <w:rPr>
          <w:rFonts w:ascii="Times New Roman" w:hAnsi="Times New Roman"/>
          <w:sz w:val="22"/>
          <w:szCs w:val="22"/>
          <w:lang w:eastAsia="cs-CZ"/>
        </w:rPr>
        <w:t>,</w:t>
      </w:r>
      <w:r w:rsidR="00E311FA" w:rsidRPr="00E311FA">
        <w:t xml:space="preserve"> </w:t>
      </w:r>
      <w:r w:rsidR="00E311FA" w:rsidRPr="00E311FA">
        <w:rPr>
          <w:rFonts w:ascii="Times New Roman" w:hAnsi="Times New Roman"/>
          <w:sz w:val="22"/>
          <w:szCs w:val="22"/>
          <w:lang w:eastAsia="cs-CZ"/>
        </w:rPr>
        <w:t>Manuál Platobnej jednotky a Manuál kontroly verejného obstarávania</w:t>
      </w:r>
      <w:r w:rsidR="00E311FA">
        <w:rPr>
          <w:rFonts w:ascii="Times New Roman" w:hAnsi="Times New Roman"/>
          <w:sz w:val="22"/>
          <w:szCs w:val="22"/>
          <w:lang w:eastAsia="cs-CZ"/>
        </w:rPr>
        <w:t xml:space="preserve"> </w:t>
      </w:r>
      <w:r w:rsidR="0038478A">
        <w:rPr>
          <w:rFonts w:ascii="Times New Roman" w:hAnsi="Times New Roman"/>
          <w:sz w:val="22"/>
          <w:szCs w:val="22"/>
          <w:lang w:eastAsia="cs-CZ"/>
        </w:rPr>
        <w:t>v</w:t>
      </w:r>
      <w:r w:rsidR="00E311FA">
        <w:rPr>
          <w:rFonts w:ascii="Times New Roman" w:hAnsi="Times New Roman"/>
          <w:sz w:val="22"/>
          <w:szCs w:val="22"/>
          <w:lang w:eastAsia="cs-CZ"/>
        </w:rPr>
        <w:t> platných zneniach</w:t>
      </w:r>
      <w:r w:rsidRPr="0038478A">
        <w:rPr>
          <w:rFonts w:ascii="Times New Roman" w:hAnsi="Times New Roman"/>
          <w:sz w:val="22"/>
          <w:szCs w:val="22"/>
          <w:lang w:eastAsia="cs-CZ"/>
        </w:rPr>
        <w:t>)</w:t>
      </w:r>
      <w:r w:rsidR="00E311FA">
        <w:rPr>
          <w:rFonts w:ascii="Times New Roman" w:hAnsi="Times New Roman"/>
          <w:sz w:val="22"/>
          <w:szCs w:val="22"/>
          <w:lang w:eastAsia="cs-CZ"/>
        </w:rPr>
        <w:t>.</w:t>
      </w:r>
    </w:p>
    <w:p w14:paraId="2D399848" w14:textId="77777777" w:rsidR="00383B50" w:rsidRPr="008C5361" w:rsidRDefault="00383B50" w:rsidP="00C3571B">
      <w:pPr>
        <w:pStyle w:val="Nadpis4"/>
        <w:spacing w:line="276" w:lineRule="auto"/>
        <w:ind w:left="0" w:firstLine="0"/>
        <w:rPr>
          <w:rFonts w:ascii="Times New Roman" w:hAnsi="Times New Roman"/>
          <w:b/>
          <w:bCs/>
          <w:sz w:val="22"/>
          <w:szCs w:val="22"/>
        </w:rPr>
      </w:pPr>
      <w:r w:rsidRPr="0038478A">
        <w:rPr>
          <w:rFonts w:ascii="Times New Roman" w:hAnsi="Times New Roman"/>
          <w:b/>
          <w:bCs/>
          <w:sz w:val="22"/>
          <w:szCs w:val="22"/>
        </w:rPr>
        <w:t>Posilňovanie kontrolných mechanizmov</w:t>
      </w:r>
    </w:p>
    <w:p w14:paraId="2D399849" w14:textId="27826D27" w:rsidR="00383B50" w:rsidRPr="008C5361" w:rsidRDefault="00383B50" w:rsidP="00C3571B">
      <w:pPr>
        <w:numPr>
          <w:ilvl w:val="0"/>
          <w:numId w:val="12"/>
        </w:numPr>
        <w:spacing w:after="120" w:line="276" w:lineRule="auto"/>
        <w:jc w:val="both"/>
        <w:rPr>
          <w:rFonts w:ascii="Times New Roman" w:hAnsi="Times New Roman"/>
          <w:sz w:val="22"/>
          <w:szCs w:val="22"/>
          <w:lang w:eastAsia="cs-CZ"/>
        </w:rPr>
      </w:pPr>
      <w:r w:rsidRPr="008C5361">
        <w:rPr>
          <w:rFonts w:ascii="Times New Roman" w:hAnsi="Times New Roman"/>
          <w:sz w:val="22"/>
          <w:szCs w:val="22"/>
          <w:lang w:eastAsia="cs-CZ"/>
        </w:rPr>
        <w:t xml:space="preserve">jednoznačné stanovenie kompetencií a zodpovedností až na úroveň pracovných pozícií; </w:t>
      </w:r>
    </w:p>
    <w:p w14:paraId="1623CECD" w14:textId="51F810FC" w:rsidR="00C464D9" w:rsidRPr="006C0BF9" w:rsidRDefault="00383B50" w:rsidP="006C0BF9">
      <w:pPr>
        <w:numPr>
          <w:ilvl w:val="0"/>
          <w:numId w:val="12"/>
        </w:numPr>
        <w:spacing w:after="120" w:line="276" w:lineRule="auto"/>
        <w:jc w:val="both"/>
        <w:rPr>
          <w:rFonts w:ascii="Times New Roman" w:hAnsi="Times New Roman"/>
          <w:sz w:val="22"/>
          <w:szCs w:val="22"/>
          <w:lang w:eastAsia="cs-CZ"/>
        </w:rPr>
      </w:pPr>
      <w:r w:rsidRPr="008C5361">
        <w:rPr>
          <w:rFonts w:ascii="Times New Roman" w:hAnsi="Times New Roman"/>
          <w:sz w:val="22"/>
          <w:szCs w:val="22"/>
          <w:lang w:eastAsia="cs-CZ"/>
        </w:rPr>
        <w:t>identifikácia, aktualizácia a pravidelné vyhodnocovanie rizík vrátanie rizík podvodu a prijímanie opatrení (ak relevantné) na zníženie dopadu (celkovej miery) rizík p</w:t>
      </w:r>
      <w:r w:rsidR="003007C6" w:rsidRPr="008C5361">
        <w:rPr>
          <w:rFonts w:ascii="Times New Roman" w:hAnsi="Times New Roman"/>
          <w:sz w:val="22"/>
          <w:szCs w:val="22"/>
          <w:lang w:eastAsia="cs-CZ"/>
        </w:rPr>
        <w:t xml:space="preserve">rostredníctvom </w:t>
      </w:r>
      <w:r w:rsidR="003007C6" w:rsidRPr="008C5361">
        <w:rPr>
          <w:rFonts w:ascii="Times New Roman" w:hAnsi="Times New Roman"/>
          <w:sz w:val="22"/>
          <w:szCs w:val="22"/>
        </w:rPr>
        <w:t xml:space="preserve">tímu </w:t>
      </w:r>
      <w:r w:rsidR="009E52ED">
        <w:rPr>
          <w:rFonts w:ascii="Times New Roman" w:hAnsi="Times New Roman"/>
          <w:sz w:val="22"/>
          <w:szCs w:val="22"/>
        </w:rPr>
        <w:t xml:space="preserve">pre riadenie </w:t>
      </w:r>
      <w:r w:rsidR="003007C6" w:rsidRPr="008C5361">
        <w:rPr>
          <w:rFonts w:ascii="Times New Roman" w:hAnsi="Times New Roman"/>
          <w:sz w:val="22"/>
          <w:szCs w:val="22"/>
        </w:rPr>
        <w:t>rizík podvodu</w:t>
      </w:r>
      <w:r w:rsidRPr="008C5361">
        <w:rPr>
          <w:rFonts w:ascii="Times New Roman" w:hAnsi="Times New Roman"/>
          <w:sz w:val="22"/>
          <w:szCs w:val="22"/>
          <w:lang w:eastAsia="cs-CZ"/>
        </w:rPr>
        <w:t xml:space="preserve">; </w:t>
      </w:r>
    </w:p>
    <w:p w14:paraId="2D39984C" w14:textId="7D0F4FB5" w:rsidR="00383B50" w:rsidRPr="00450DEB" w:rsidRDefault="00557670" w:rsidP="00557670">
      <w:pPr>
        <w:pStyle w:val="Nadpis3"/>
        <w:spacing w:line="276" w:lineRule="auto"/>
        <w:ind w:left="0" w:firstLine="360"/>
        <w:rPr>
          <w:rFonts w:ascii="Times New Roman" w:hAnsi="Times New Roman"/>
          <w:b/>
          <w:bCs/>
          <w:color w:val="0070C0"/>
          <w:sz w:val="22"/>
          <w:szCs w:val="22"/>
        </w:rPr>
      </w:pPr>
      <w:bookmarkStart w:id="38" w:name="_Toc45873735"/>
      <w:bookmarkStart w:id="39" w:name="_Toc97642168"/>
      <w:bookmarkStart w:id="40" w:name="_Toc420332623"/>
      <w:r w:rsidRPr="00450DEB">
        <w:rPr>
          <w:rFonts w:ascii="Times New Roman" w:hAnsi="Times New Roman"/>
          <w:b/>
          <w:bCs/>
          <w:color w:val="0070C0"/>
          <w:sz w:val="22"/>
          <w:szCs w:val="22"/>
          <w:lang w:val="sk-SK"/>
        </w:rPr>
        <w:t xml:space="preserve">6.2 </w:t>
      </w:r>
      <w:r w:rsidR="00383B50" w:rsidRPr="00450DEB">
        <w:rPr>
          <w:rFonts w:ascii="Times New Roman" w:hAnsi="Times New Roman"/>
          <w:b/>
          <w:bCs/>
          <w:color w:val="0070C0"/>
          <w:sz w:val="22"/>
          <w:szCs w:val="22"/>
          <w:lang w:val="sk-SK"/>
        </w:rPr>
        <w:t>D</w:t>
      </w:r>
      <w:r w:rsidR="004A2CB5" w:rsidRPr="00450DEB">
        <w:rPr>
          <w:rFonts w:ascii="Times New Roman" w:hAnsi="Times New Roman"/>
          <w:b/>
          <w:bCs/>
          <w:color w:val="0070C0"/>
          <w:sz w:val="22"/>
          <w:szCs w:val="22"/>
          <w:lang w:val="sk-SK"/>
        </w:rPr>
        <w:t>ETEKCIA</w:t>
      </w:r>
      <w:bookmarkEnd w:id="38"/>
      <w:bookmarkEnd w:id="39"/>
    </w:p>
    <w:bookmarkEnd w:id="40"/>
    <w:p w14:paraId="2D39984D" w14:textId="14FAADF4" w:rsidR="00383B50" w:rsidRPr="008C5361" w:rsidRDefault="00383B50" w:rsidP="00C3571B">
      <w:pPr>
        <w:spacing w:before="120" w:line="276" w:lineRule="auto"/>
        <w:jc w:val="both"/>
        <w:rPr>
          <w:rFonts w:ascii="Times New Roman" w:hAnsi="Times New Roman"/>
          <w:sz w:val="22"/>
          <w:szCs w:val="22"/>
          <w:lang w:eastAsia="cs-CZ"/>
        </w:rPr>
      </w:pPr>
      <w:r w:rsidRPr="008C5361">
        <w:rPr>
          <w:rFonts w:ascii="Times New Roman" w:hAnsi="Times New Roman"/>
          <w:sz w:val="22"/>
          <w:szCs w:val="22"/>
          <w:lang w:eastAsia="cs-CZ"/>
        </w:rPr>
        <w:t>Aktívny prístup k identifikácii podvodov prispieva k zvýšeniu pravdepodobnosti ich odhalenia a prostredníctvom včasného odhalenia podvodov minim</w:t>
      </w:r>
      <w:r w:rsidR="00423FFC" w:rsidRPr="008C5361">
        <w:rPr>
          <w:rFonts w:ascii="Times New Roman" w:hAnsi="Times New Roman"/>
          <w:sz w:val="22"/>
          <w:szCs w:val="22"/>
          <w:lang w:eastAsia="cs-CZ"/>
        </w:rPr>
        <w:t xml:space="preserve">alizuje ich dopad. Zamestnanci </w:t>
      </w:r>
      <w:r w:rsidR="00E72F75" w:rsidRPr="008C5361">
        <w:rPr>
          <w:rFonts w:ascii="Times New Roman" w:hAnsi="Times New Roman"/>
          <w:sz w:val="22"/>
          <w:szCs w:val="22"/>
          <w:lang w:eastAsia="cs-CZ"/>
        </w:rPr>
        <w:t>R</w:t>
      </w:r>
      <w:r w:rsidRPr="008C5361">
        <w:rPr>
          <w:rFonts w:ascii="Times New Roman" w:hAnsi="Times New Roman"/>
          <w:sz w:val="22"/>
          <w:szCs w:val="22"/>
          <w:lang w:eastAsia="cs-CZ"/>
        </w:rPr>
        <w:t xml:space="preserve">O sú povinní všímať si potenciálne podvodné konanie a reagovať naň. Nakoľko preventívne opatrenia nepredstavujú absolútny nástroj </w:t>
      </w:r>
      <w:r w:rsidR="0089600A" w:rsidRPr="008C5361">
        <w:rPr>
          <w:rFonts w:ascii="Times New Roman" w:hAnsi="Times New Roman"/>
          <w:sz w:val="22"/>
          <w:szCs w:val="22"/>
          <w:lang w:eastAsia="cs-CZ"/>
        </w:rPr>
        <w:t xml:space="preserve">na zabránenie vzniku podvodov, </w:t>
      </w:r>
      <w:r w:rsidR="00E72F75" w:rsidRPr="008C5361">
        <w:rPr>
          <w:rFonts w:ascii="Times New Roman" w:hAnsi="Times New Roman"/>
          <w:sz w:val="22"/>
          <w:szCs w:val="22"/>
          <w:lang w:eastAsia="cs-CZ"/>
        </w:rPr>
        <w:t>R</w:t>
      </w:r>
      <w:r w:rsidRPr="008C5361">
        <w:rPr>
          <w:rFonts w:ascii="Times New Roman" w:hAnsi="Times New Roman"/>
          <w:sz w:val="22"/>
          <w:szCs w:val="22"/>
          <w:lang w:eastAsia="cs-CZ"/>
        </w:rPr>
        <w:t xml:space="preserve">O zavádza najmä tieto detekčné opatrenia, ktorých účelom je včas odhaľovať podvodné konanie:  </w:t>
      </w:r>
    </w:p>
    <w:p w14:paraId="2D39984E" w14:textId="6C545A24" w:rsidR="00383B50" w:rsidRPr="008C5361" w:rsidRDefault="00383B50" w:rsidP="00C3571B">
      <w:pPr>
        <w:numPr>
          <w:ilvl w:val="0"/>
          <w:numId w:val="13"/>
        </w:numPr>
        <w:spacing w:before="120" w:line="276" w:lineRule="auto"/>
        <w:jc w:val="both"/>
        <w:rPr>
          <w:rFonts w:ascii="Times New Roman" w:hAnsi="Times New Roman"/>
          <w:sz w:val="22"/>
          <w:szCs w:val="22"/>
          <w:lang w:eastAsia="cs-CZ"/>
        </w:rPr>
      </w:pPr>
      <w:r w:rsidRPr="00450DEB">
        <w:rPr>
          <w:rFonts w:ascii="Times New Roman" w:hAnsi="Times New Roman"/>
          <w:b/>
          <w:sz w:val="22"/>
          <w:szCs w:val="22"/>
          <w:lang w:eastAsia="cs-CZ"/>
        </w:rPr>
        <w:t>sledovanie výskytu tzv. „indikátorov podvodu“</w:t>
      </w:r>
      <w:r w:rsidRPr="008C5361">
        <w:rPr>
          <w:rFonts w:ascii="Times New Roman" w:hAnsi="Times New Roman"/>
          <w:sz w:val="22"/>
          <w:szCs w:val="22"/>
          <w:lang w:eastAsia="cs-CZ"/>
        </w:rPr>
        <w:t>, ktoré upozorňujú na možnú podvodnú aktivitu. Ich prítomnosť automaticky neznamená podvodné konanie. V každom prípade ale vyžadujú hlbšie preverenie s </w:t>
      </w:r>
      <w:r w:rsidRPr="00A459E6">
        <w:rPr>
          <w:rFonts w:ascii="Times New Roman" w:hAnsi="Times New Roman"/>
          <w:sz w:val="22"/>
          <w:szCs w:val="22"/>
          <w:lang w:eastAsia="cs-CZ"/>
        </w:rPr>
        <w:t xml:space="preserve">cieľom potvrdiť, alebo vyvrátiť domnienku o podvodnom konaní. K indikátorom podvodu v zmysle usmernenia </w:t>
      </w:r>
      <w:r w:rsidR="00A65633">
        <w:rPr>
          <w:rFonts w:ascii="Times New Roman" w:hAnsi="Times New Roman"/>
          <w:sz w:val="22"/>
          <w:szCs w:val="22"/>
          <w:lang w:eastAsia="cs-CZ"/>
        </w:rPr>
        <w:t>EK</w:t>
      </w:r>
      <w:r w:rsidR="00A65633">
        <w:rPr>
          <w:rStyle w:val="Odkaznapoznmkupodiarou"/>
          <w:szCs w:val="22"/>
          <w:lang w:eastAsia="cs-CZ"/>
        </w:rPr>
        <w:footnoteReference w:id="9"/>
      </w:r>
      <w:r w:rsidRPr="00A459E6">
        <w:rPr>
          <w:rFonts w:ascii="Times New Roman" w:hAnsi="Times New Roman"/>
          <w:sz w:val="22"/>
          <w:szCs w:val="22"/>
          <w:lang w:eastAsia="cs-CZ"/>
        </w:rPr>
        <w:t xml:space="preserve"> patria napr.:</w:t>
      </w:r>
      <w:r w:rsidRPr="008C5361">
        <w:rPr>
          <w:rFonts w:ascii="Times New Roman" w:hAnsi="Times New Roman"/>
          <w:sz w:val="22"/>
          <w:szCs w:val="22"/>
          <w:lang w:eastAsia="cs-CZ"/>
        </w:rPr>
        <w:t xml:space="preserve"> </w:t>
      </w:r>
    </w:p>
    <w:p w14:paraId="2D39984F" w14:textId="77777777" w:rsidR="00383B50" w:rsidRPr="008C5361" w:rsidRDefault="00383B50" w:rsidP="00C3571B">
      <w:pPr>
        <w:spacing w:before="120" w:line="276" w:lineRule="auto"/>
        <w:ind w:left="720"/>
        <w:jc w:val="both"/>
        <w:rPr>
          <w:rFonts w:ascii="Times New Roman" w:hAnsi="Times New Roman"/>
          <w:b/>
          <w:sz w:val="22"/>
          <w:szCs w:val="22"/>
          <w:lang w:val="fr-FR" w:eastAsia="cs-CZ"/>
        </w:rPr>
      </w:pPr>
      <w:r w:rsidRPr="008C5361">
        <w:rPr>
          <w:rFonts w:ascii="Times New Roman" w:hAnsi="Times New Roman"/>
          <w:b/>
          <w:sz w:val="22"/>
          <w:szCs w:val="22"/>
          <w:lang w:val="fr-FR" w:eastAsia="cs-CZ"/>
        </w:rPr>
        <w:t>Oblasť podvodov súvisiacich so zadávaním zákaziek a verejným obstarávaním</w:t>
      </w:r>
    </w:p>
    <w:p w14:paraId="2D399850"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zvýhodňovanie niektorého z uchádzačov vo VO (napr. poskytovaním interných informácií),</w:t>
      </w:r>
    </w:p>
    <w:p w14:paraId="2D399851"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nedostatočná špecifikácia predmetu VO,</w:t>
      </w:r>
    </w:p>
    <w:p w14:paraId="2D399852"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 xml:space="preserve">únik informácií, </w:t>
      </w:r>
    </w:p>
    <w:p w14:paraId="2D399853"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manipulácia s predloženými cenovými ponukami (napr. zámena cenovej ponuky, strata cenovej ponuky),</w:t>
      </w:r>
    </w:p>
    <w:p w14:paraId="2D399854"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rozdelenie predmetu obstarávania s cieľom vyhnúť sa postupu zadávania zákaziek v zmysle zákona o VO (napr. po sebe nasledujúce súvisiace VO s rovnakým víťazom – dodávateľom s hodnotou zákazky (tesne) pod limitmi pre VO),</w:t>
      </w:r>
    </w:p>
    <w:p w14:paraId="2D399855"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neopodstatnené uprednostňovanie jedného dodávateľa zamestnancom zodpovedným za VO v priebehu určitého časového obdobia,</w:t>
      </w:r>
    </w:p>
    <w:p w14:paraId="2D399856"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nezdokladované a časté zmeny zmlúv, pričom sa zvyšuje hodnota zákazky,</w:t>
      </w:r>
    </w:p>
    <w:p w14:paraId="2D399857"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podozrenie z korupcie (napr. úplatky),</w:t>
      </w:r>
    </w:p>
    <w:p w14:paraId="2D399858"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podozrenie z konfliktu záujmov,</w:t>
      </w:r>
    </w:p>
    <w:p w14:paraId="2D399859"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podozrenie z kolúzneho správania,</w:t>
      </w:r>
    </w:p>
    <w:p w14:paraId="2D39985A"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lastRenderedPageBreak/>
        <w:t>vysoké percento úspešnosti jedného uchádzača pri súťažných metódach,</w:t>
      </w:r>
    </w:p>
    <w:p w14:paraId="2D39985B"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zmeny v predložených ponukách v rámci VO po ich prijatí,</w:t>
      </w:r>
    </w:p>
    <w:p w14:paraId="2D39985C"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rovnaké sídlo prijímateľa (obstarávateľa) a dodávateľa,</w:t>
      </w:r>
    </w:p>
    <w:p w14:paraId="2D39985D" w14:textId="77777777" w:rsidR="00383B50" w:rsidRPr="008C5361"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C5361">
        <w:rPr>
          <w:rFonts w:ascii="Times New Roman" w:hAnsi="Times New Roman"/>
          <w:sz w:val="22"/>
          <w:szCs w:val="22"/>
          <w:lang w:val="fr-FR" w:eastAsia="cs-CZ"/>
        </w:rPr>
        <w:t>podobné faktúry od jedného dodávateľa predložené v rámci rozdielnych zákaziek, resp. viaceré faktúry s rovnakou sumou, číslom faktúry, dátumom apod.,</w:t>
      </w:r>
    </w:p>
    <w:p w14:paraId="2D39985E" w14:textId="77777777" w:rsidR="00383B50" w:rsidRPr="00B1490A"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B1490A">
        <w:rPr>
          <w:rFonts w:ascii="Times New Roman" w:hAnsi="Times New Roman"/>
          <w:sz w:val="22"/>
          <w:szCs w:val="22"/>
          <w:lang w:val="fr-FR" w:eastAsia="cs-CZ"/>
        </w:rPr>
        <w:t>dodávateľské faktúry na viac ako jednu zákazku za rovnaké časové obdobie,</w:t>
      </w:r>
    </w:p>
    <w:p w14:paraId="2D39985F" w14:textId="77777777" w:rsidR="00383B50" w:rsidRPr="00B1490A"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B1490A">
        <w:rPr>
          <w:rFonts w:ascii="Times New Roman" w:hAnsi="Times New Roman"/>
          <w:sz w:val="22"/>
          <w:szCs w:val="22"/>
          <w:lang w:val="fr-FR" w:eastAsia="cs-CZ"/>
        </w:rPr>
        <w:t>fakturované tovary alebo služby nie sú zaúčtované alebo zaevidované v majetku,</w:t>
      </w:r>
    </w:p>
    <w:p w14:paraId="2D399860" w14:textId="77777777" w:rsidR="00383B50" w:rsidRPr="00B1490A"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B1490A">
        <w:rPr>
          <w:rFonts w:ascii="Times New Roman" w:hAnsi="Times New Roman"/>
          <w:sz w:val="22"/>
          <w:szCs w:val="22"/>
          <w:lang w:val="fr-FR" w:eastAsia="cs-CZ"/>
        </w:rPr>
        <w:t>nadmerné alebo neobvyklé mzdové náklady,</w:t>
      </w:r>
    </w:p>
    <w:p w14:paraId="2D399861" w14:textId="77777777" w:rsidR="00383B50" w:rsidRPr="00B1490A"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B1490A">
        <w:rPr>
          <w:rFonts w:ascii="Times New Roman" w:hAnsi="Times New Roman"/>
          <w:sz w:val="22"/>
          <w:szCs w:val="22"/>
          <w:lang w:val="fr-FR" w:eastAsia="cs-CZ"/>
        </w:rPr>
        <w:t>chýbajúce pracovné výkazy,</w:t>
      </w:r>
    </w:p>
    <w:p w14:paraId="2D399862" w14:textId="77777777" w:rsidR="00383B50" w:rsidRPr="00B1490A"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B1490A">
        <w:rPr>
          <w:rFonts w:ascii="Times New Roman" w:hAnsi="Times New Roman"/>
          <w:sz w:val="22"/>
          <w:szCs w:val="22"/>
          <w:lang w:val="fr-FR" w:eastAsia="cs-CZ"/>
        </w:rPr>
        <w:t>rovnaké náklady na materiál účtované pri viac ako jednej zákazke,</w:t>
      </w:r>
    </w:p>
    <w:p w14:paraId="2D399863" w14:textId="77777777" w:rsidR="00383B50" w:rsidRPr="00B1490A"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B1490A">
        <w:rPr>
          <w:rFonts w:ascii="Times New Roman" w:hAnsi="Times New Roman"/>
          <w:sz w:val="22"/>
          <w:szCs w:val="22"/>
          <w:lang w:val="fr-FR" w:eastAsia="cs-CZ"/>
        </w:rPr>
        <w:t>nesúlad medzi výsledkami skúšok a kontrol a zmluvnými nárokmi a podmienkami,</w:t>
      </w:r>
    </w:p>
    <w:p w14:paraId="2D399864" w14:textId="77777777" w:rsidR="00383B50" w:rsidRPr="00B1490A"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B1490A">
        <w:rPr>
          <w:rFonts w:ascii="Times New Roman" w:hAnsi="Times New Roman"/>
          <w:sz w:val="22"/>
          <w:szCs w:val="22"/>
          <w:lang w:val="fr-FR" w:eastAsia="cs-CZ"/>
        </w:rPr>
        <w:t>nedodržiavanie podmienok zmluvy (napr. neuplatňovanie sankcií, tolerovanie nekvality),</w:t>
      </w:r>
    </w:p>
    <w:p w14:paraId="2D399865" w14:textId="77777777" w:rsidR="00383B50" w:rsidRPr="00B1490A"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B1490A">
        <w:rPr>
          <w:rFonts w:ascii="Times New Roman" w:hAnsi="Times New Roman"/>
          <w:sz w:val="22"/>
          <w:szCs w:val="22"/>
          <w:lang w:val="fr-FR" w:eastAsia="cs-CZ"/>
        </w:rPr>
        <w:t>poskytovanie platieb dodávateľom za fiktívne plnenia alebo za plnenie, ktoré nebolo realizované v deklarovanom rozsahu,</w:t>
      </w:r>
    </w:p>
    <w:p w14:paraId="2D399866" w14:textId="77777777" w:rsidR="00383B50" w:rsidRPr="00C274D7"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C274D7">
        <w:rPr>
          <w:rFonts w:ascii="Times New Roman" w:hAnsi="Times New Roman"/>
          <w:sz w:val="22"/>
          <w:szCs w:val="22"/>
          <w:lang w:val="fr-FR" w:eastAsia="cs-CZ"/>
        </w:rPr>
        <w:t>poskytovanie platieb dodávateľom bez súpisu vykonaných prác a dodávok;</w:t>
      </w:r>
    </w:p>
    <w:p w14:paraId="2D399867" w14:textId="77777777" w:rsidR="00383B50" w:rsidRPr="00FC4B13" w:rsidRDefault="00383B50" w:rsidP="00C3571B">
      <w:pPr>
        <w:spacing w:before="120" w:line="276" w:lineRule="auto"/>
        <w:ind w:left="709" w:firstLine="11"/>
        <w:jc w:val="both"/>
        <w:rPr>
          <w:rFonts w:ascii="Times New Roman" w:hAnsi="Times New Roman"/>
          <w:b/>
          <w:sz w:val="22"/>
          <w:szCs w:val="22"/>
          <w:lang w:val="fr-FR" w:eastAsia="cs-CZ"/>
        </w:rPr>
      </w:pPr>
      <w:r w:rsidRPr="00FC4B13">
        <w:rPr>
          <w:rFonts w:ascii="Times New Roman" w:hAnsi="Times New Roman"/>
          <w:b/>
          <w:sz w:val="22"/>
          <w:szCs w:val="22"/>
          <w:lang w:val="fr-FR" w:eastAsia="cs-CZ"/>
        </w:rPr>
        <w:t>Oblasť podvodov spojených s mzdovými nákladmi a poradenskými službami</w:t>
      </w:r>
    </w:p>
    <w:p w14:paraId="2D399868" w14:textId="77777777" w:rsidR="00383B50" w:rsidRPr="00FC4B13"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FC4B13">
        <w:rPr>
          <w:rFonts w:ascii="Times New Roman" w:hAnsi="Times New Roman"/>
          <w:sz w:val="22"/>
          <w:szCs w:val="22"/>
          <w:lang w:val="fr-FR" w:eastAsia="cs-CZ"/>
        </w:rPr>
        <w:t>charakteristické modely fakturácie,</w:t>
      </w:r>
    </w:p>
    <w:p w14:paraId="2D399869" w14:textId="77777777" w:rsidR="00383B50" w:rsidRPr="00DD1236"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DD1236">
        <w:rPr>
          <w:rFonts w:ascii="Times New Roman" w:hAnsi="Times New Roman"/>
          <w:sz w:val="22"/>
          <w:szCs w:val="22"/>
          <w:lang w:val="fr-FR" w:eastAsia="cs-CZ"/>
        </w:rPr>
        <w:t>náhle, významné zmeny vo fakturácii,</w:t>
      </w:r>
    </w:p>
    <w:p w14:paraId="2D39986B" w14:textId="17D0DD44" w:rsidR="00383B50" w:rsidRPr="009C00FC" w:rsidRDefault="00383B50" w:rsidP="00030F81">
      <w:pPr>
        <w:numPr>
          <w:ilvl w:val="0"/>
          <w:numId w:val="14"/>
        </w:numPr>
        <w:spacing w:before="120" w:line="276" w:lineRule="auto"/>
        <w:ind w:left="1418" w:hanging="709"/>
        <w:jc w:val="both"/>
        <w:rPr>
          <w:rFonts w:ascii="Times New Roman" w:hAnsi="Times New Roman"/>
          <w:sz w:val="22"/>
          <w:szCs w:val="22"/>
          <w:lang w:val="fr-FR" w:eastAsia="cs-CZ"/>
        </w:rPr>
      </w:pPr>
      <w:r w:rsidRPr="009C00FC">
        <w:rPr>
          <w:rFonts w:ascii="Times New Roman" w:hAnsi="Times New Roman"/>
          <w:sz w:val="22"/>
          <w:szCs w:val="22"/>
          <w:lang w:val="fr-FR" w:eastAsia="cs-CZ"/>
        </w:rPr>
        <w:t>zníženie fakturovaných sadzieb na projektoch a zákazkách, ktoré prekročili rozpočet</w:t>
      </w:r>
      <w:r w:rsidR="008D48F6">
        <w:rPr>
          <w:rFonts w:ascii="Times New Roman" w:hAnsi="Times New Roman"/>
          <w:sz w:val="22"/>
          <w:szCs w:val="22"/>
          <w:lang w:val="fr-FR" w:eastAsia="cs-CZ"/>
        </w:rPr>
        <w:t xml:space="preserve"> </w:t>
      </w:r>
      <w:r w:rsidRPr="009C00FC">
        <w:rPr>
          <w:rFonts w:ascii="Times New Roman" w:hAnsi="Times New Roman"/>
          <w:sz w:val="22"/>
          <w:szCs w:val="22"/>
          <w:lang w:val="fr-FR" w:eastAsia="cs-CZ"/>
        </w:rPr>
        <w:t>alebo sa mu približujú,</w:t>
      </w:r>
    </w:p>
    <w:p w14:paraId="2D39986C" w14:textId="77777777" w:rsidR="00383B50" w:rsidRPr="009C00FC"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9C00FC">
        <w:rPr>
          <w:rFonts w:ascii="Times New Roman" w:hAnsi="Times New Roman"/>
          <w:sz w:val="22"/>
          <w:szCs w:val="22"/>
          <w:lang w:val="fr-FR" w:eastAsia="cs-CZ"/>
        </w:rPr>
        <w:t>neúmerný podiel zamestnancov fakturovaných ako nepriame náklady,</w:t>
      </w:r>
    </w:p>
    <w:p w14:paraId="2D39986D" w14:textId="77777777" w:rsidR="00383B50" w:rsidRPr="009C00FC"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9C00FC">
        <w:rPr>
          <w:rFonts w:ascii="Times New Roman" w:hAnsi="Times New Roman"/>
          <w:sz w:val="22"/>
          <w:szCs w:val="22"/>
          <w:lang w:val="fr-FR" w:eastAsia="cs-CZ"/>
        </w:rPr>
        <w:t>veľký počet zamestnancov preklasifikovaných z priamych na nepriame mzdové</w:t>
      </w:r>
    </w:p>
    <w:p w14:paraId="2D39986E" w14:textId="77777777" w:rsidR="00383B50" w:rsidRPr="009C00FC" w:rsidRDefault="00383B50" w:rsidP="00C3571B">
      <w:pPr>
        <w:spacing w:before="120" w:line="276" w:lineRule="auto"/>
        <w:ind w:left="1418"/>
        <w:jc w:val="both"/>
        <w:rPr>
          <w:rFonts w:ascii="Times New Roman" w:hAnsi="Times New Roman"/>
          <w:sz w:val="22"/>
          <w:szCs w:val="22"/>
          <w:lang w:val="fr-FR" w:eastAsia="cs-CZ"/>
        </w:rPr>
      </w:pPr>
      <w:r w:rsidRPr="009C00FC">
        <w:rPr>
          <w:rFonts w:ascii="Times New Roman" w:hAnsi="Times New Roman"/>
          <w:sz w:val="22"/>
          <w:szCs w:val="22"/>
          <w:lang w:val="fr-FR" w:eastAsia="cs-CZ"/>
        </w:rPr>
        <w:t>náklady alebo naopak,</w:t>
      </w:r>
    </w:p>
    <w:p w14:paraId="2D39986F" w14:textId="77777777" w:rsidR="00383B50" w:rsidRPr="00F67826"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F67826">
        <w:rPr>
          <w:rFonts w:ascii="Times New Roman" w:hAnsi="Times New Roman"/>
          <w:sz w:val="22"/>
          <w:szCs w:val="22"/>
          <w:lang w:val="fr-FR" w:eastAsia="cs-CZ"/>
        </w:rPr>
        <w:t>tí istí zamestnanci neustále preklasifikovaní z priamych na nepriame mzdové</w:t>
      </w:r>
    </w:p>
    <w:p w14:paraId="2D399870" w14:textId="77777777" w:rsidR="00383B50" w:rsidRPr="00F67826" w:rsidRDefault="00383B50" w:rsidP="00C3571B">
      <w:pPr>
        <w:spacing w:before="120" w:line="276" w:lineRule="auto"/>
        <w:ind w:left="1418"/>
        <w:jc w:val="both"/>
        <w:rPr>
          <w:rFonts w:ascii="Times New Roman" w:hAnsi="Times New Roman"/>
          <w:sz w:val="22"/>
          <w:szCs w:val="22"/>
          <w:lang w:val="fr-FR" w:eastAsia="cs-CZ"/>
        </w:rPr>
      </w:pPr>
      <w:r w:rsidRPr="00F67826">
        <w:rPr>
          <w:rFonts w:ascii="Times New Roman" w:hAnsi="Times New Roman"/>
          <w:sz w:val="22"/>
          <w:szCs w:val="22"/>
          <w:lang w:val="fr-FR" w:eastAsia="cs-CZ"/>
        </w:rPr>
        <w:t>náklady alebo naopak,</w:t>
      </w:r>
    </w:p>
    <w:p w14:paraId="2D399873" w14:textId="57401E54" w:rsidR="00383B50" w:rsidRPr="00F67826" w:rsidRDefault="00383B50" w:rsidP="009C00FC">
      <w:pPr>
        <w:numPr>
          <w:ilvl w:val="0"/>
          <w:numId w:val="14"/>
        </w:numPr>
        <w:spacing w:before="120" w:line="276" w:lineRule="auto"/>
        <w:ind w:left="1418" w:hanging="709"/>
        <w:jc w:val="both"/>
        <w:rPr>
          <w:rFonts w:ascii="Times New Roman" w:hAnsi="Times New Roman"/>
          <w:sz w:val="22"/>
          <w:szCs w:val="22"/>
          <w:lang w:val="fr-FR" w:eastAsia="cs-CZ"/>
        </w:rPr>
      </w:pPr>
      <w:r w:rsidRPr="00F67826">
        <w:rPr>
          <w:rFonts w:ascii="Times New Roman" w:hAnsi="Times New Roman"/>
          <w:sz w:val="22"/>
          <w:szCs w:val="22"/>
          <w:lang w:val="fr-FR" w:eastAsia="cs-CZ"/>
        </w:rPr>
        <w:t>nedostatočné vnútorné kontroly fakturácie pracovnej sily, napr. pracovné výkazy</w:t>
      </w:r>
      <w:r w:rsidR="009C00FC" w:rsidRPr="00F67826">
        <w:rPr>
          <w:rFonts w:ascii="Times New Roman" w:hAnsi="Times New Roman"/>
          <w:sz w:val="22"/>
          <w:szCs w:val="22"/>
          <w:lang w:val="fr-FR" w:eastAsia="cs-CZ"/>
        </w:rPr>
        <w:t xml:space="preserve"> </w:t>
      </w:r>
      <w:r w:rsidRPr="00F67826">
        <w:rPr>
          <w:rFonts w:ascii="Times New Roman" w:hAnsi="Times New Roman"/>
          <w:sz w:val="22"/>
          <w:szCs w:val="22"/>
          <w:lang w:val="fr-FR" w:eastAsia="cs-CZ"/>
        </w:rPr>
        <w:t>zamestnancov podpísané vopred, vyplnené nadriadeným, vyplnené ceruzkou alebo</w:t>
      </w:r>
      <w:r w:rsidR="00030F81" w:rsidRPr="00F67826">
        <w:rPr>
          <w:rFonts w:ascii="Times New Roman" w:hAnsi="Times New Roman"/>
          <w:sz w:val="22"/>
          <w:szCs w:val="22"/>
          <w:lang w:val="fr-FR" w:eastAsia="cs-CZ"/>
        </w:rPr>
        <w:t xml:space="preserve"> </w:t>
      </w:r>
      <w:r w:rsidRPr="00F67826">
        <w:rPr>
          <w:rFonts w:ascii="Times New Roman" w:hAnsi="Times New Roman"/>
          <w:sz w:val="22"/>
          <w:szCs w:val="22"/>
          <w:lang w:val="fr-FR" w:eastAsia="cs-CZ"/>
        </w:rPr>
        <w:t>vyplnené na konci obdobia fakturácie,</w:t>
      </w:r>
    </w:p>
    <w:p w14:paraId="2D399874" w14:textId="77777777" w:rsidR="00383B50" w:rsidRPr="00F67826"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F67826">
        <w:rPr>
          <w:rFonts w:ascii="Times New Roman" w:hAnsi="Times New Roman"/>
          <w:sz w:val="22"/>
          <w:szCs w:val="22"/>
          <w:lang w:val="fr-FR" w:eastAsia="cs-CZ"/>
        </w:rPr>
        <w:t>skutočný počet hodín a sumy v eurách sústavne na úrovni rozpočtovaných súm</w:t>
      </w:r>
    </w:p>
    <w:p w14:paraId="2D399875" w14:textId="77777777" w:rsidR="00383B50" w:rsidRPr="00F67826" w:rsidRDefault="00383B50" w:rsidP="00C3571B">
      <w:pPr>
        <w:spacing w:before="120" w:line="276" w:lineRule="auto"/>
        <w:ind w:left="1418"/>
        <w:jc w:val="both"/>
        <w:rPr>
          <w:rFonts w:ascii="Times New Roman" w:hAnsi="Times New Roman"/>
          <w:sz w:val="22"/>
          <w:szCs w:val="22"/>
          <w:lang w:val="fr-FR" w:eastAsia="cs-CZ"/>
        </w:rPr>
      </w:pPr>
      <w:r w:rsidRPr="00F67826">
        <w:rPr>
          <w:rFonts w:ascii="Times New Roman" w:hAnsi="Times New Roman"/>
          <w:sz w:val="22"/>
          <w:szCs w:val="22"/>
          <w:lang w:val="fr-FR" w:eastAsia="cs-CZ"/>
        </w:rPr>
        <w:t xml:space="preserve">alebo blízko nej, </w:t>
      </w:r>
    </w:p>
    <w:p w14:paraId="2D399876" w14:textId="77777777" w:rsidR="00383B50" w:rsidRPr="006635C8"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6635C8">
        <w:rPr>
          <w:rFonts w:ascii="Times New Roman" w:hAnsi="Times New Roman"/>
          <w:sz w:val="22"/>
          <w:szCs w:val="22"/>
          <w:lang w:val="fr-FR" w:eastAsia="cs-CZ"/>
        </w:rPr>
        <w:t>používanie opravných položiek v účtovníctve s cieľom presunúť náklady medzi</w:t>
      </w:r>
    </w:p>
    <w:p w14:paraId="2D399877" w14:textId="077EDCA7" w:rsidR="00383B50" w:rsidRPr="006635C8" w:rsidRDefault="00383B50" w:rsidP="00C3571B">
      <w:pPr>
        <w:spacing w:before="120" w:line="276" w:lineRule="auto"/>
        <w:ind w:left="1418"/>
        <w:jc w:val="both"/>
        <w:rPr>
          <w:rFonts w:ascii="Times New Roman" w:hAnsi="Times New Roman"/>
          <w:sz w:val="22"/>
          <w:szCs w:val="22"/>
          <w:lang w:val="fr-FR" w:eastAsia="cs-CZ"/>
        </w:rPr>
      </w:pPr>
      <w:r w:rsidRPr="006635C8">
        <w:rPr>
          <w:rFonts w:ascii="Times New Roman" w:hAnsi="Times New Roman"/>
          <w:sz w:val="22"/>
          <w:szCs w:val="22"/>
          <w:lang w:val="fr-FR" w:eastAsia="cs-CZ"/>
        </w:rPr>
        <w:t>zákazkami, obchodnou činnosťou,</w:t>
      </w:r>
    </w:p>
    <w:p w14:paraId="2D399878" w14:textId="77777777" w:rsidR="00383B50" w:rsidRPr="006635C8"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6635C8">
        <w:rPr>
          <w:rFonts w:ascii="Times New Roman" w:hAnsi="Times New Roman"/>
          <w:sz w:val="22"/>
          <w:szCs w:val="22"/>
          <w:lang w:val="fr-FR" w:eastAsia="cs-CZ"/>
        </w:rPr>
        <w:t>výrazné prírastky alebo úbytky v účtovaní na citlivých účtoch,</w:t>
      </w:r>
    </w:p>
    <w:p w14:paraId="2D399879" w14:textId="77777777" w:rsidR="00383B50" w:rsidRPr="006635C8"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6635C8">
        <w:rPr>
          <w:rFonts w:ascii="Times New Roman" w:hAnsi="Times New Roman"/>
          <w:sz w:val="22"/>
          <w:szCs w:val="22"/>
          <w:lang w:val="fr-FR" w:eastAsia="cs-CZ"/>
        </w:rPr>
        <w:t>pracovný čas zamestnanca účtovaný inak ako súvisiace cestovné náklady</w:t>
      </w:r>
    </w:p>
    <w:p w14:paraId="2D39987A" w14:textId="77777777" w:rsidR="00383B50" w:rsidRPr="006635C8"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6635C8">
        <w:rPr>
          <w:rFonts w:ascii="Times New Roman" w:hAnsi="Times New Roman"/>
          <w:sz w:val="22"/>
          <w:szCs w:val="22"/>
          <w:lang w:val="fr-FR" w:eastAsia="cs-CZ"/>
        </w:rPr>
        <w:lastRenderedPageBreak/>
        <w:t>od odborných zamestnancov sa požadovalo, aby odpracovali značné množstvo</w:t>
      </w:r>
    </w:p>
    <w:p w14:paraId="2D39987B" w14:textId="77777777" w:rsidR="00383B50" w:rsidRPr="006635C8" w:rsidRDefault="00383B50" w:rsidP="00C3571B">
      <w:pPr>
        <w:spacing w:before="120" w:line="276" w:lineRule="auto"/>
        <w:ind w:left="1418"/>
        <w:jc w:val="both"/>
        <w:rPr>
          <w:rFonts w:ascii="Times New Roman" w:hAnsi="Times New Roman"/>
          <w:sz w:val="22"/>
          <w:szCs w:val="22"/>
          <w:lang w:eastAsia="cs-CZ"/>
        </w:rPr>
      </w:pPr>
      <w:r w:rsidRPr="006635C8">
        <w:rPr>
          <w:rFonts w:ascii="Times New Roman" w:hAnsi="Times New Roman"/>
          <w:sz w:val="22"/>
          <w:szCs w:val="22"/>
          <w:lang w:eastAsia="cs-CZ"/>
        </w:rPr>
        <w:t>nezaplatených nadčasov na viacerých projektoch (priame i nepriame mzdové</w:t>
      </w:r>
    </w:p>
    <w:p w14:paraId="2D39987C" w14:textId="77777777" w:rsidR="00383B50" w:rsidRPr="006635C8" w:rsidRDefault="00383B50" w:rsidP="00C3571B">
      <w:pPr>
        <w:spacing w:before="120" w:line="276" w:lineRule="auto"/>
        <w:ind w:left="1418"/>
        <w:jc w:val="both"/>
        <w:rPr>
          <w:rFonts w:ascii="Times New Roman" w:hAnsi="Times New Roman"/>
          <w:sz w:val="22"/>
          <w:szCs w:val="22"/>
          <w:lang w:val="fr-FR" w:eastAsia="cs-CZ"/>
        </w:rPr>
      </w:pPr>
      <w:r w:rsidRPr="006635C8">
        <w:rPr>
          <w:rFonts w:ascii="Times New Roman" w:hAnsi="Times New Roman"/>
          <w:sz w:val="22"/>
          <w:szCs w:val="22"/>
          <w:lang w:val="fr-FR" w:eastAsia="cs-CZ"/>
        </w:rPr>
        <w:t>náklady),</w:t>
      </w:r>
    </w:p>
    <w:p w14:paraId="2D39987D" w14:textId="77777777" w:rsidR="00383B50" w:rsidRPr="00EC56DD"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EC56DD">
        <w:rPr>
          <w:rFonts w:ascii="Times New Roman" w:hAnsi="Times New Roman"/>
          <w:sz w:val="22"/>
          <w:szCs w:val="22"/>
          <w:lang w:val="fr-FR" w:eastAsia="cs-CZ"/>
        </w:rPr>
        <w:t>za vlastných zamestnancov sa fakturuje iba obvyklá pracovná doba odpracovaná</w:t>
      </w:r>
    </w:p>
    <w:p w14:paraId="2D39987E" w14:textId="77777777" w:rsidR="00383B50" w:rsidRPr="00EC56DD" w:rsidRDefault="00383B50" w:rsidP="00C3571B">
      <w:pPr>
        <w:spacing w:before="120" w:line="276" w:lineRule="auto"/>
        <w:ind w:left="1418"/>
        <w:jc w:val="both"/>
        <w:rPr>
          <w:rFonts w:ascii="Times New Roman" w:hAnsi="Times New Roman"/>
          <w:sz w:val="22"/>
          <w:szCs w:val="22"/>
          <w:lang w:val="fr-FR" w:eastAsia="cs-CZ"/>
        </w:rPr>
      </w:pPr>
      <w:r w:rsidRPr="00EC56DD">
        <w:rPr>
          <w:rFonts w:ascii="Times New Roman" w:hAnsi="Times New Roman"/>
          <w:sz w:val="22"/>
          <w:szCs w:val="22"/>
          <w:lang w:val="fr-FR" w:eastAsia="cs-CZ"/>
        </w:rPr>
        <w:t>ktorýkoľvek deň počas dlhšieho obdobia,</w:t>
      </w:r>
    </w:p>
    <w:p w14:paraId="2D39987F" w14:textId="77777777" w:rsidR="00383B50" w:rsidRPr="00930CA3"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930CA3">
        <w:rPr>
          <w:rFonts w:ascii="Times New Roman" w:hAnsi="Times New Roman"/>
          <w:sz w:val="22"/>
          <w:szCs w:val="22"/>
          <w:lang w:val="fr-FR" w:eastAsia="cs-CZ"/>
        </w:rPr>
        <w:t>systém, v ktorom manažment nariadi nadčasy bez náhrady, hoci bonus pre</w:t>
      </w:r>
    </w:p>
    <w:p w14:paraId="2D399880" w14:textId="77777777" w:rsidR="00383B50" w:rsidRPr="00930CA3" w:rsidRDefault="00383B50" w:rsidP="002D1507">
      <w:pPr>
        <w:spacing w:before="120" w:line="276" w:lineRule="auto"/>
        <w:ind w:left="1418"/>
        <w:jc w:val="both"/>
        <w:rPr>
          <w:rFonts w:ascii="Times New Roman" w:hAnsi="Times New Roman"/>
          <w:sz w:val="22"/>
          <w:szCs w:val="22"/>
          <w:lang w:val="fr-FR" w:eastAsia="cs-CZ"/>
        </w:rPr>
      </w:pPr>
      <w:r w:rsidRPr="00930CA3">
        <w:rPr>
          <w:rFonts w:ascii="Times New Roman" w:hAnsi="Times New Roman"/>
          <w:sz w:val="22"/>
          <w:szCs w:val="22"/>
          <w:lang w:val="fr-FR" w:eastAsia="cs-CZ"/>
        </w:rPr>
        <w:t>zamestnancov je založený na odpracovaných nadčasoch,</w:t>
      </w:r>
    </w:p>
    <w:p w14:paraId="2D399881" w14:textId="77777777" w:rsidR="00383B50" w:rsidRPr="00930CA3"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930CA3">
        <w:rPr>
          <w:rFonts w:ascii="Times New Roman" w:hAnsi="Times New Roman"/>
          <w:sz w:val="22"/>
          <w:szCs w:val="22"/>
          <w:lang w:val="fr-FR" w:eastAsia="cs-CZ"/>
        </w:rPr>
        <w:t>prekročené zákazky/projekty odpracované iba počas neplatených hodín.</w:t>
      </w:r>
    </w:p>
    <w:p w14:paraId="2D399883" w14:textId="185F2235" w:rsidR="00383B50" w:rsidRPr="00930CA3" w:rsidRDefault="00383B50" w:rsidP="00BA0505">
      <w:pPr>
        <w:numPr>
          <w:ilvl w:val="0"/>
          <w:numId w:val="14"/>
        </w:numPr>
        <w:spacing w:before="120" w:line="276" w:lineRule="auto"/>
        <w:ind w:left="1418" w:hanging="709"/>
        <w:jc w:val="both"/>
        <w:rPr>
          <w:rFonts w:ascii="Times New Roman" w:hAnsi="Times New Roman"/>
          <w:sz w:val="22"/>
          <w:szCs w:val="22"/>
          <w:lang w:val="fr-FR" w:eastAsia="cs-CZ"/>
        </w:rPr>
      </w:pPr>
      <w:r w:rsidRPr="00930CA3">
        <w:rPr>
          <w:rFonts w:ascii="Times New Roman" w:hAnsi="Times New Roman"/>
          <w:sz w:val="22"/>
          <w:szCs w:val="22"/>
          <w:lang w:val="fr-FR" w:eastAsia="cs-CZ"/>
        </w:rPr>
        <w:t>žiadne oficiálne podpísané dohody alebo zmluvy, avšak vyplatené vysoké sumy za</w:t>
      </w:r>
      <w:r w:rsidR="00BA0505" w:rsidRPr="00930CA3">
        <w:rPr>
          <w:rFonts w:ascii="Times New Roman" w:hAnsi="Times New Roman"/>
          <w:sz w:val="22"/>
          <w:szCs w:val="22"/>
          <w:lang w:val="fr-FR" w:eastAsia="cs-CZ"/>
        </w:rPr>
        <w:t xml:space="preserve"> </w:t>
      </w:r>
      <w:r w:rsidRPr="00930CA3">
        <w:rPr>
          <w:rFonts w:ascii="Times New Roman" w:hAnsi="Times New Roman"/>
          <w:sz w:val="22"/>
          <w:szCs w:val="22"/>
          <w:lang w:val="fr-FR" w:eastAsia="cs-CZ"/>
        </w:rPr>
        <w:t>„poskytnuté služby“ na základe faktúr s malým množstvom konkrétnych údajov,</w:t>
      </w:r>
    </w:p>
    <w:p w14:paraId="2D399886" w14:textId="39F7FCFD" w:rsidR="00383B50" w:rsidRPr="00930CA3" w:rsidRDefault="00383B50" w:rsidP="00930CA3">
      <w:pPr>
        <w:numPr>
          <w:ilvl w:val="0"/>
          <w:numId w:val="14"/>
        </w:numPr>
        <w:spacing w:before="120" w:line="276" w:lineRule="auto"/>
        <w:ind w:left="1418" w:hanging="709"/>
        <w:jc w:val="both"/>
        <w:rPr>
          <w:rFonts w:ascii="Times New Roman" w:hAnsi="Times New Roman"/>
          <w:sz w:val="22"/>
          <w:szCs w:val="22"/>
          <w:lang w:val="fr-FR" w:eastAsia="cs-CZ"/>
        </w:rPr>
      </w:pPr>
      <w:r w:rsidRPr="00930CA3">
        <w:rPr>
          <w:rFonts w:ascii="Times New Roman" w:hAnsi="Times New Roman"/>
          <w:sz w:val="22"/>
          <w:szCs w:val="22"/>
          <w:lang w:val="fr-FR" w:eastAsia="cs-CZ"/>
        </w:rPr>
        <w:t>oficiálne dohody alebo zmluvy existujú, sú však neurčité, pokiaľ ide o služby, ktoré</w:t>
      </w:r>
      <w:r w:rsidR="00BA0505" w:rsidRPr="00930CA3">
        <w:rPr>
          <w:rFonts w:ascii="Times New Roman" w:hAnsi="Times New Roman"/>
          <w:sz w:val="22"/>
          <w:szCs w:val="22"/>
          <w:lang w:val="fr-FR" w:eastAsia="cs-CZ"/>
        </w:rPr>
        <w:t xml:space="preserve"> </w:t>
      </w:r>
      <w:r w:rsidRPr="00930CA3">
        <w:rPr>
          <w:rFonts w:ascii="Times New Roman" w:hAnsi="Times New Roman"/>
          <w:sz w:val="22"/>
          <w:szCs w:val="22"/>
          <w:lang w:val="fr-FR" w:eastAsia="cs-CZ"/>
        </w:rPr>
        <w:t>sa majú poskytnúť a na odôvodnenie výdavkov neexistujú žiadne podporné</w:t>
      </w:r>
      <w:r w:rsidR="00930CA3" w:rsidRPr="00930CA3">
        <w:rPr>
          <w:rFonts w:ascii="Times New Roman" w:hAnsi="Times New Roman"/>
          <w:sz w:val="22"/>
          <w:szCs w:val="22"/>
          <w:lang w:val="fr-FR" w:eastAsia="cs-CZ"/>
        </w:rPr>
        <w:t xml:space="preserve"> </w:t>
      </w:r>
      <w:r w:rsidRPr="00930CA3">
        <w:rPr>
          <w:rFonts w:ascii="Times New Roman" w:hAnsi="Times New Roman"/>
          <w:sz w:val="22"/>
          <w:szCs w:val="22"/>
          <w:lang w:val="fr-FR" w:eastAsia="cs-CZ"/>
        </w:rPr>
        <w:t>doklady, ako napr. podrobné faktúry, správy z ciest alebo štúdie,</w:t>
      </w:r>
    </w:p>
    <w:p w14:paraId="2D399887" w14:textId="77777777" w:rsidR="00383B50" w:rsidRPr="00930CA3"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930CA3">
        <w:rPr>
          <w:rFonts w:ascii="Times New Roman" w:hAnsi="Times New Roman"/>
          <w:sz w:val="22"/>
          <w:szCs w:val="22"/>
          <w:lang w:val="fr-FR" w:eastAsia="cs-CZ"/>
        </w:rPr>
        <w:t>uhradené služby sa použili s cieľom nenáležitým spôsobom získať, distribuovať</w:t>
      </w:r>
    </w:p>
    <w:p w14:paraId="2D399889" w14:textId="537C77FC" w:rsidR="00383B50" w:rsidRPr="00930CA3" w:rsidRDefault="00383B50" w:rsidP="00930CA3">
      <w:pPr>
        <w:spacing w:before="120" w:line="276" w:lineRule="auto"/>
        <w:ind w:left="1418"/>
        <w:jc w:val="both"/>
        <w:rPr>
          <w:rFonts w:ascii="Times New Roman" w:hAnsi="Times New Roman"/>
          <w:sz w:val="22"/>
          <w:szCs w:val="22"/>
          <w:lang w:val="fr-FR" w:eastAsia="cs-CZ"/>
        </w:rPr>
      </w:pPr>
      <w:r w:rsidRPr="00930CA3">
        <w:rPr>
          <w:rFonts w:ascii="Times New Roman" w:hAnsi="Times New Roman"/>
          <w:sz w:val="22"/>
          <w:szCs w:val="22"/>
          <w:lang w:val="fr-FR" w:eastAsia="cs-CZ"/>
        </w:rPr>
        <w:t>alebo používať informácie alebo údaje chránené zákonom alebo inou právnou</w:t>
      </w:r>
      <w:r w:rsidR="00930CA3" w:rsidRPr="00930CA3">
        <w:rPr>
          <w:rFonts w:ascii="Times New Roman" w:hAnsi="Times New Roman"/>
          <w:sz w:val="22"/>
          <w:szCs w:val="22"/>
          <w:lang w:val="fr-FR" w:eastAsia="cs-CZ"/>
        </w:rPr>
        <w:t xml:space="preserve"> </w:t>
      </w:r>
      <w:r w:rsidRPr="00930CA3">
        <w:rPr>
          <w:rFonts w:ascii="Times New Roman" w:hAnsi="Times New Roman"/>
          <w:sz w:val="22"/>
          <w:szCs w:val="22"/>
          <w:lang w:val="fr-FR" w:eastAsia="cs-CZ"/>
        </w:rPr>
        <w:t>normou,</w:t>
      </w:r>
    </w:p>
    <w:p w14:paraId="2D39988A" w14:textId="77777777" w:rsidR="00383B50" w:rsidRPr="008D48F6"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D48F6">
        <w:rPr>
          <w:rFonts w:ascii="Times New Roman" w:hAnsi="Times New Roman"/>
          <w:sz w:val="22"/>
          <w:szCs w:val="22"/>
          <w:lang w:val="fr-FR" w:eastAsia="cs-CZ"/>
        </w:rPr>
        <w:t>uhradené služby boli určené na nenáležité ovplyvnenie procesu obstarávania,</w:t>
      </w:r>
    </w:p>
    <w:p w14:paraId="2D39988B" w14:textId="77777777" w:rsidR="00383B50" w:rsidRPr="008D48F6" w:rsidRDefault="00383B50" w:rsidP="00C3571B">
      <w:pPr>
        <w:spacing w:before="120" w:line="276" w:lineRule="auto"/>
        <w:ind w:left="1418"/>
        <w:jc w:val="both"/>
        <w:rPr>
          <w:rFonts w:ascii="Times New Roman" w:hAnsi="Times New Roman"/>
          <w:sz w:val="22"/>
          <w:szCs w:val="22"/>
          <w:lang w:val="fr-FR" w:eastAsia="cs-CZ"/>
        </w:rPr>
      </w:pPr>
      <w:r w:rsidRPr="008D48F6">
        <w:rPr>
          <w:rFonts w:ascii="Times New Roman" w:hAnsi="Times New Roman"/>
          <w:sz w:val="22"/>
          <w:szCs w:val="22"/>
          <w:lang w:val="fr-FR" w:eastAsia="cs-CZ"/>
        </w:rPr>
        <w:t>vyhodnotenia ponuky, výberu dodávateľov alebo rokovania o zmluve, jej zmene</w:t>
      </w:r>
    </w:p>
    <w:p w14:paraId="2D39988C" w14:textId="77777777" w:rsidR="00383B50" w:rsidRPr="008D48F6" w:rsidRDefault="00383B50" w:rsidP="00C3571B">
      <w:pPr>
        <w:spacing w:before="120" w:line="276" w:lineRule="auto"/>
        <w:ind w:left="1418"/>
        <w:jc w:val="both"/>
        <w:rPr>
          <w:rFonts w:ascii="Times New Roman" w:hAnsi="Times New Roman"/>
          <w:sz w:val="22"/>
          <w:szCs w:val="22"/>
          <w:lang w:val="fr-FR" w:eastAsia="cs-CZ"/>
        </w:rPr>
      </w:pPr>
      <w:r w:rsidRPr="008D48F6">
        <w:rPr>
          <w:rFonts w:ascii="Times New Roman" w:hAnsi="Times New Roman"/>
          <w:sz w:val="22"/>
          <w:szCs w:val="22"/>
          <w:lang w:val="fr-FR" w:eastAsia="cs-CZ"/>
        </w:rPr>
        <w:t>alebo nároku. Nezáleží na tom, či ide zmluvu s hlavným dodávateľom alebo</w:t>
      </w:r>
    </w:p>
    <w:p w14:paraId="2D39988D" w14:textId="77777777" w:rsidR="00383B50" w:rsidRPr="008D48F6" w:rsidRDefault="00383B50" w:rsidP="00C3571B">
      <w:pPr>
        <w:spacing w:before="120" w:line="276" w:lineRule="auto"/>
        <w:ind w:left="1418"/>
        <w:jc w:val="both"/>
        <w:rPr>
          <w:rFonts w:ascii="Times New Roman" w:hAnsi="Times New Roman"/>
          <w:sz w:val="22"/>
          <w:szCs w:val="22"/>
          <w:lang w:val="fr-FR" w:eastAsia="cs-CZ"/>
        </w:rPr>
      </w:pPr>
      <w:r w:rsidRPr="008D48F6">
        <w:rPr>
          <w:rFonts w:ascii="Times New Roman" w:hAnsi="Times New Roman"/>
          <w:sz w:val="22"/>
          <w:szCs w:val="22"/>
          <w:lang w:val="fr-FR" w:eastAsia="cs-CZ"/>
        </w:rPr>
        <w:t>akýkoľvek subdodávateľom,</w:t>
      </w:r>
    </w:p>
    <w:p w14:paraId="2D39988E" w14:textId="77777777" w:rsidR="00383B50" w:rsidRPr="008D48F6"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D48F6">
        <w:rPr>
          <w:rFonts w:ascii="Times New Roman" w:hAnsi="Times New Roman"/>
          <w:sz w:val="22"/>
          <w:szCs w:val="22"/>
          <w:lang w:val="fr-FR" w:eastAsia="cs-CZ"/>
        </w:rPr>
        <w:t>zaplatené služby sa obstarali alebo poskytli spôsobom, ktorý porušil normu</w:t>
      </w:r>
    </w:p>
    <w:p w14:paraId="2D39988F" w14:textId="573F131C" w:rsidR="00383B50" w:rsidRPr="008D48F6" w:rsidRDefault="00383B50" w:rsidP="00C3571B">
      <w:pPr>
        <w:spacing w:before="120" w:line="276" w:lineRule="auto"/>
        <w:ind w:left="1418"/>
        <w:jc w:val="both"/>
        <w:rPr>
          <w:rFonts w:ascii="Times New Roman" w:hAnsi="Times New Roman"/>
          <w:sz w:val="22"/>
          <w:szCs w:val="22"/>
          <w:lang w:val="fr-FR" w:eastAsia="cs-CZ"/>
        </w:rPr>
      </w:pPr>
      <w:r w:rsidRPr="008D48F6">
        <w:rPr>
          <w:rFonts w:ascii="Times New Roman" w:hAnsi="Times New Roman"/>
          <w:sz w:val="22"/>
          <w:szCs w:val="22"/>
          <w:lang w:val="fr-FR" w:eastAsia="cs-CZ"/>
        </w:rPr>
        <w:t xml:space="preserve">zakazujúcu nekalé obchodné </w:t>
      </w:r>
      <w:r w:rsidR="008D48F6">
        <w:rPr>
          <w:rFonts w:ascii="Times New Roman" w:hAnsi="Times New Roman"/>
          <w:sz w:val="22"/>
          <w:szCs w:val="22"/>
          <w:lang w:val="fr-FR" w:eastAsia="cs-CZ"/>
        </w:rPr>
        <w:t>praktiky alebo konflikt záujmov,</w:t>
      </w:r>
    </w:p>
    <w:p w14:paraId="2D399892" w14:textId="4055098A" w:rsidR="00383B50" w:rsidRPr="008E7B78" w:rsidRDefault="00383B50" w:rsidP="00BA0505">
      <w:pPr>
        <w:numPr>
          <w:ilvl w:val="0"/>
          <w:numId w:val="14"/>
        </w:numPr>
        <w:spacing w:before="120" w:line="276" w:lineRule="auto"/>
        <w:ind w:left="1418" w:hanging="709"/>
        <w:jc w:val="both"/>
        <w:rPr>
          <w:rFonts w:ascii="Times New Roman" w:hAnsi="Times New Roman"/>
          <w:sz w:val="22"/>
          <w:szCs w:val="22"/>
          <w:lang w:val="fr-FR" w:eastAsia="cs-CZ"/>
        </w:rPr>
      </w:pPr>
      <w:r w:rsidRPr="008E7B78">
        <w:rPr>
          <w:rFonts w:ascii="Times New Roman" w:hAnsi="Times New Roman"/>
          <w:sz w:val="22"/>
          <w:szCs w:val="22"/>
          <w:lang w:val="fr-FR" w:eastAsia="cs-CZ"/>
        </w:rPr>
        <w:t>výrazné rozdiely medzi navrhovanými a skutočnými jednotkovými nákladmi alebo</w:t>
      </w:r>
      <w:r w:rsidR="00BA0505" w:rsidRPr="008E7B78">
        <w:rPr>
          <w:rFonts w:ascii="Times New Roman" w:hAnsi="Times New Roman"/>
          <w:sz w:val="22"/>
          <w:szCs w:val="22"/>
          <w:lang w:val="fr-FR" w:eastAsia="cs-CZ"/>
        </w:rPr>
        <w:t xml:space="preserve"> </w:t>
      </w:r>
      <w:r w:rsidRPr="008E7B78">
        <w:rPr>
          <w:rFonts w:ascii="Times New Roman" w:hAnsi="Times New Roman"/>
          <w:sz w:val="22"/>
          <w:szCs w:val="22"/>
          <w:lang w:val="fr-FR" w:eastAsia="cs-CZ"/>
        </w:rPr>
        <w:t>množstvami, ktoré nezodpovedajú zmenám rozsahu práce alebo požiadavkám na</w:t>
      </w:r>
      <w:r w:rsidR="00BA0505" w:rsidRPr="008E7B78">
        <w:rPr>
          <w:rFonts w:ascii="Times New Roman" w:hAnsi="Times New Roman"/>
          <w:sz w:val="22"/>
          <w:szCs w:val="22"/>
          <w:lang w:val="fr-FR" w:eastAsia="cs-CZ"/>
        </w:rPr>
        <w:t xml:space="preserve"> </w:t>
      </w:r>
      <w:r w:rsidRPr="008E7B78">
        <w:rPr>
          <w:rFonts w:ascii="Times New Roman" w:hAnsi="Times New Roman"/>
          <w:sz w:val="22"/>
          <w:szCs w:val="22"/>
          <w:lang w:val="fr-FR" w:eastAsia="cs-CZ"/>
        </w:rPr>
        <w:t>pracovné miesto,</w:t>
      </w:r>
    </w:p>
    <w:p w14:paraId="2D399895" w14:textId="6CAE4A60" w:rsidR="00383B50" w:rsidRPr="008E7B78" w:rsidRDefault="00383B50" w:rsidP="008E7B78">
      <w:pPr>
        <w:numPr>
          <w:ilvl w:val="0"/>
          <w:numId w:val="14"/>
        </w:numPr>
        <w:spacing w:before="120" w:line="276" w:lineRule="auto"/>
        <w:ind w:left="1418" w:hanging="709"/>
        <w:jc w:val="both"/>
        <w:rPr>
          <w:rFonts w:ascii="Times New Roman" w:hAnsi="Times New Roman"/>
          <w:sz w:val="22"/>
          <w:szCs w:val="22"/>
          <w:lang w:val="fr-FR" w:eastAsia="cs-CZ"/>
        </w:rPr>
      </w:pPr>
      <w:r w:rsidRPr="008E7B78">
        <w:rPr>
          <w:rFonts w:ascii="Times New Roman" w:hAnsi="Times New Roman"/>
          <w:sz w:val="22"/>
          <w:szCs w:val="22"/>
          <w:lang w:val="fr-FR" w:eastAsia="cs-CZ"/>
        </w:rPr>
        <w:t>fakturácia jednotlivých úloh neustále na hraničnej úrovni stanovenej v zmluve.</w:t>
      </w:r>
      <w:r w:rsidR="008E7B78" w:rsidRPr="008E7B78">
        <w:rPr>
          <w:rFonts w:ascii="Times New Roman" w:hAnsi="Times New Roman"/>
          <w:sz w:val="22"/>
          <w:szCs w:val="22"/>
          <w:lang w:val="fr-FR" w:eastAsia="cs-CZ"/>
        </w:rPr>
        <w:t xml:space="preserve"> </w:t>
      </w:r>
      <w:r w:rsidRPr="008E7B78">
        <w:rPr>
          <w:rFonts w:ascii="Times New Roman" w:hAnsi="Times New Roman"/>
          <w:sz w:val="22"/>
          <w:szCs w:val="22"/>
          <w:lang w:val="fr-FR" w:eastAsia="cs-CZ"/>
        </w:rPr>
        <w:t>Výnimkou by bolo, ak by sa v zmluve/objednávk</w:t>
      </w:r>
      <w:r w:rsidR="00BA0505" w:rsidRPr="008E7B78">
        <w:rPr>
          <w:rFonts w:ascii="Times New Roman" w:hAnsi="Times New Roman"/>
          <w:sz w:val="22"/>
          <w:szCs w:val="22"/>
          <w:lang w:val="fr-FR" w:eastAsia="cs-CZ"/>
        </w:rPr>
        <w:t xml:space="preserve">e prác uvádzalo, koľko hodín sa </w:t>
      </w:r>
      <w:r w:rsidRPr="008E7B78">
        <w:rPr>
          <w:rFonts w:ascii="Times New Roman" w:hAnsi="Times New Roman"/>
          <w:sz w:val="22"/>
          <w:szCs w:val="22"/>
          <w:lang w:val="fr-FR" w:eastAsia="cs-CZ"/>
        </w:rPr>
        <w:t>má fakturovať,</w:t>
      </w:r>
    </w:p>
    <w:p w14:paraId="2D399896" w14:textId="77777777" w:rsidR="00383B50" w:rsidRPr="008E7B78"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E7B78">
        <w:rPr>
          <w:rFonts w:ascii="Times New Roman" w:hAnsi="Times New Roman"/>
          <w:sz w:val="22"/>
          <w:szCs w:val="22"/>
          <w:lang w:val="fr-FR" w:eastAsia="cs-CZ"/>
        </w:rPr>
        <w:t>konkrétni jednotlivci navrhnutí ako „kľúčoví zamestnanci“ nepracujú na zákazke,</w:t>
      </w:r>
    </w:p>
    <w:p w14:paraId="2D399897" w14:textId="77777777" w:rsidR="00383B50" w:rsidRPr="008E7B78"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8E7B78">
        <w:rPr>
          <w:rFonts w:ascii="Times New Roman" w:hAnsi="Times New Roman"/>
          <w:sz w:val="22"/>
          <w:szCs w:val="22"/>
          <w:lang w:val="fr-FR" w:eastAsia="cs-CZ"/>
        </w:rPr>
        <w:t>navrhované pracovné sily sa nezakladajú na existujúcich pracovných silách. Je</w:t>
      </w:r>
    </w:p>
    <w:p w14:paraId="2D399898" w14:textId="77777777" w:rsidR="00383B50" w:rsidRPr="008E7B78" w:rsidRDefault="00383B50" w:rsidP="00C3571B">
      <w:pPr>
        <w:spacing w:before="120" w:line="276" w:lineRule="auto"/>
        <w:ind w:left="1418"/>
        <w:jc w:val="both"/>
        <w:rPr>
          <w:rFonts w:ascii="Times New Roman" w:hAnsi="Times New Roman"/>
          <w:sz w:val="22"/>
          <w:szCs w:val="22"/>
          <w:lang w:val="fr-FR" w:eastAsia="cs-CZ"/>
        </w:rPr>
      </w:pPr>
      <w:r w:rsidRPr="008E7B78">
        <w:rPr>
          <w:rFonts w:ascii="Times New Roman" w:hAnsi="Times New Roman"/>
          <w:sz w:val="22"/>
          <w:szCs w:val="22"/>
          <w:lang w:val="fr-FR" w:eastAsia="cs-CZ"/>
        </w:rPr>
        <w:t>potrebný veľký počet novoprijatých zamestnancov. Sadzby pre novoprijaté</w:t>
      </w:r>
    </w:p>
    <w:p w14:paraId="2D399899" w14:textId="77777777" w:rsidR="00383B50" w:rsidRPr="00BC6EFE" w:rsidRDefault="00383B50" w:rsidP="00C3571B">
      <w:pPr>
        <w:spacing w:before="120" w:line="276" w:lineRule="auto"/>
        <w:ind w:left="1418"/>
        <w:jc w:val="both"/>
        <w:rPr>
          <w:rFonts w:ascii="Times New Roman" w:hAnsi="Times New Roman"/>
          <w:sz w:val="22"/>
          <w:szCs w:val="22"/>
          <w:lang w:val="fr-FR" w:eastAsia="cs-CZ"/>
        </w:rPr>
      </w:pPr>
      <w:r w:rsidRPr="00BC6EFE">
        <w:rPr>
          <w:rFonts w:ascii="Times New Roman" w:hAnsi="Times New Roman"/>
          <w:sz w:val="22"/>
          <w:szCs w:val="22"/>
          <w:lang w:val="fr-FR" w:eastAsia="cs-CZ"/>
        </w:rPr>
        <w:t>pracovné sily sú výrazne nižšie ako navrhované,</w:t>
      </w:r>
    </w:p>
    <w:p w14:paraId="2D39989B" w14:textId="1B77B749" w:rsidR="00383B50" w:rsidRPr="00BC6EFE" w:rsidRDefault="00383B50" w:rsidP="00BA0505">
      <w:pPr>
        <w:numPr>
          <w:ilvl w:val="0"/>
          <w:numId w:val="14"/>
        </w:numPr>
        <w:spacing w:before="120" w:line="276" w:lineRule="auto"/>
        <w:ind w:left="1418" w:hanging="709"/>
        <w:jc w:val="both"/>
        <w:rPr>
          <w:rFonts w:ascii="Times New Roman" w:hAnsi="Times New Roman"/>
          <w:sz w:val="22"/>
          <w:szCs w:val="22"/>
          <w:lang w:val="fr-FR" w:eastAsia="cs-CZ"/>
        </w:rPr>
      </w:pPr>
      <w:r w:rsidRPr="00BC6EFE">
        <w:rPr>
          <w:rFonts w:ascii="Times New Roman" w:hAnsi="Times New Roman"/>
          <w:sz w:val="22"/>
          <w:szCs w:val="22"/>
          <w:lang w:val="fr-FR" w:eastAsia="cs-CZ"/>
        </w:rPr>
        <w:t>kvalifikácia zamestnancov nezodpovedá kvalifikačným požiadavkám stanoveným</w:t>
      </w:r>
      <w:r w:rsidR="00BA0505" w:rsidRPr="00BC6EFE">
        <w:rPr>
          <w:rFonts w:ascii="Times New Roman" w:hAnsi="Times New Roman"/>
          <w:sz w:val="22"/>
          <w:szCs w:val="22"/>
          <w:lang w:val="fr-FR" w:eastAsia="cs-CZ"/>
        </w:rPr>
        <w:t xml:space="preserve"> </w:t>
      </w:r>
      <w:r w:rsidRPr="00BC6EFE">
        <w:rPr>
          <w:rFonts w:ascii="Times New Roman" w:hAnsi="Times New Roman"/>
          <w:sz w:val="22"/>
          <w:szCs w:val="22"/>
          <w:lang w:val="fr-FR" w:eastAsia="cs-CZ"/>
        </w:rPr>
        <w:t>pre ich pracovnú kategóriu alebo zmluvným požiadavkám,</w:t>
      </w:r>
    </w:p>
    <w:p w14:paraId="2D39989C" w14:textId="77777777" w:rsidR="00383B50" w:rsidRPr="00BC6EFE"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BC6EFE">
        <w:rPr>
          <w:rFonts w:ascii="Times New Roman" w:hAnsi="Times New Roman"/>
          <w:sz w:val="22"/>
          <w:szCs w:val="22"/>
          <w:lang w:val="fr-FR" w:eastAsia="cs-CZ"/>
        </w:rPr>
        <w:t>mzdové náklady na zamestnancov fakturované spoločnosťou zvyčajne ako</w:t>
      </w:r>
    </w:p>
    <w:p w14:paraId="2D39989D" w14:textId="77777777" w:rsidR="00383B50" w:rsidRPr="00BC6EFE" w:rsidRDefault="00383B50" w:rsidP="00C3571B">
      <w:pPr>
        <w:spacing w:before="120" w:line="276" w:lineRule="auto"/>
        <w:ind w:left="1418"/>
        <w:jc w:val="both"/>
        <w:rPr>
          <w:rFonts w:ascii="Times New Roman" w:hAnsi="Times New Roman"/>
          <w:sz w:val="22"/>
          <w:szCs w:val="22"/>
          <w:lang w:val="fr-FR" w:eastAsia="cs-CZ"/>
        </w:rPr>
      </w:pPr>
      <w:r w:rsidRPr="00BC6EFE">
        <w:rPr>
          <w:rFonts w:ascii="Times New Roman" w:hAnsi="Times New Roman"/>
          <w:sz w:val="22"/>
          <w:szCs w:val="22"/>
          <w:lang w:val="fr-FR" w:eastAsia="cs-CZ"/>
        </w:rPr>
        <w:t>nepriame, sú v rámci zákazky/zmluvy účtované ako priame mzdové náklady,</w:t>
      </w:r>
    </w:p>
    <w:p w14:paraId="2D3998A0" w14:textId="4D0B8D67" w:rsidR="00383B50" w:rsidRPr="00BC6EFE" w:rsidRDefault="00383B50" w:rsidP="00BA0505">
      <w:pPr>
        <w:numPr>
          <w:ilvl w:val="0"/>
          <w:numId w:val="14"/>
        </w:numPr>
        <w:spacing w:before="120" w:line="276" w:lineRule="auto"/>
        <w:ind w:left="1418" w:hanging="709"/>
        <w:jc w:val="both"/>
        <w:rPr>
          <w:rFonts w:ascii="Times New Roman" w:hAnsi="Times New Roman"/>
          <w:sz w:val="22"/>
          <w:szCs w:val="22"/>
          <w:lang w:eastAsia="cs-CZ"/>
        </w:rPr>
      </w:pPr>
      <w:r w:rsidRPr="00BC6EFE">
        <w:rPr>
          <w:rFonts w:ascii="Times New Roman" w:hAnsi="Times New Roman"/>
          <w:sz w:val="22"/>
          <w:szCs w:val="22"/>
          <w:lang w:eastAsia="cs-CZ"/>
        </w:rPr>
        <w:lastRenderedPageBreak/>
        <w:t>pracovný čas partnerov, administratívnych pracovníkov, manažmentu a</w:t>
      </w:r>
      <w:r w:rsidR="00BA0505" w:rsidRPr="00BC6EFE">
        <w:rPr>
          <w:rFonts w:ascii="Times New Roman" w:hAnsi="Times New Roman"/>
          <w:sz w:val="22"/>
          <w:szCs w:val="22"/>
          <w:lang w:eastAsia="cs-CZ"/>
        </w:rPr>
        <w:t> </w:t>
      </w:r>
      <w:r w:rsidRPr="00BC6EFE">
        <w:rPr>
          <w:rFonts w:ascii="Times New Roman" w:hAnsi="Times New Roman"/>
          <w:sz w:val="22"/>
          <w:szCs w:val="22"/>
          <w:lang w:eastAsia="cs-CZ"/>
        </w:rPr>
        <w:t>ostatných</w:t>
      </w:r>
      <w:r w:rsidR="00BA0505" w:rsidRPr="00BC6EFE">
        <w:rPr>
          <w:rFonts w:ascii="Times New Roman" w:hAnsi="Times New Roman"/>
          <w:sz w:val="22"/>
          <w:szCs w:val="22"/>
          <w:lang w:eastAsia="cs-CZ"/>
        </w:rPr>
        <w:t xml:space="preserve"> </w:t>
      </w:r>
      <w:r w:rsidRPr="00BC6EFE">
        <w:rPr>
          <w:rFonts w:ascii="Times New Roman" w:hAnsi="Times New Roman"/>
          <w:sz w:val="22"/>
          <w:szCs w:val="22"/>
          <w:lang w:eastAsia="cs-CZ"/>
        </w:rPr>
        <w:t>zamestnancov sa fakturuje v rozpore so zmluvnými podmienkami alebo zavedenými</w:t>
      </w:r>
      <w:r w:rsidR="00BA0505" w:rsidRPr="00BC6EFE">
        <w:rPr>
          <w:rFonts w:ascii="Times New Roman" w:hAnsi="Times New Roman"/>
          <w:sz w:val="22"/>
          <w:szCs w:val="22"/>
          <w:lang w:eastAsia="cs-CZ"/>
        </w:rPr>
        <w:t xml:space="preserve"> </w:t>
      </w:r>
      <w:r w:rsidRPr="00BC6EFE">
        <w:rPr>
          <w:rFonts w:ascii="Times New Roman" w:hAnsi="Times New Roman"/>
          <w:sz w:val="22"/>
          <w:szCs w:val="22"/>
          <w:lang w:val="fr-FR" w:eastAsia="cs-CZ"/>
        </w:rPr>
        <w:t>účtovnými pravidlami a postupmi spoločnosti.</w:t>
      </w:r>
    </w:p>
    <w:p w14:paraId="2D3998A2" w14:textId="7B1312EE" w:rsidR="00383B50" w:rsidRPr="001B0914" w:rsidRDefault="00383B50" w:rsidP="00C3571B">
      <w:pPr>
        <w:numPr>
          <w:ilvl w:val="0"/>
          <w:numId w:val="13"/>
        </w:numPr>
        <w:spacing w:before="120" w:line="276" w:lineRule="auto"/>
        <w:jc w:val="both"/>
        <w:rPr>
          <w:rFonts w:ascii="Times New Roman" w:hAnsi="Times New Roman"/>
          <w:sz w:val="22"/>
          <w:szCs w:val="22"/>
          <w:lang w:val="fr-FR" w:eastAsia="cs-CZ"/>
        </w:rPr>
      </w:pPr>
      <w:r w:rsidRPr="00450DEB">
        <w:rPr>
          <w:rFonts w:ascii="Times New Roman" w:hAnsi="Times New Roman"/>
          <w:b/>
          <w:sz w:val="22"/>
          <w:szCs w:val="22"/>
          <w:lang w:val="fr-FR" w:eastAsia="cs-CZ"/>
        </w:rPr>
        <w:t>zvyš</w:t>
      </w:r>
      <w:r w:rsidR="0089600A" w:rsidRPr="00450DEB">
        <w:rPr>
          <w:rFonts w:ascii="Times New Roman" w:hAnsi="Times New Roman"/>
          <w:b/>
          <w:sz w:val="22"/>
          <w:szCs w:val="22"/>
          <w:lang w:val="fr-FR" w:eastAsia="cs-CZ"/>
        </w:rPr>
        <w:t xml:space="preserve">ovanie schopnosti zamestnancov </w:t>
      </w:r>
      <w:r w:rsidR="00D50E25" w:rsidRPr="00450DEB">
        <w:rPr>
          <w:rFonts w:ascii="Times New Roman" w:hAnsi="Times New Roman"/>
          <w:b/>
          <w:sz w:val="22"/>
          <w:szCs w:val="22"/>
          <w:lang w:val="fr-FR" w:eastAsia="cs-CZ"/>
        </w:rPr>
        <w:t>R</w:t>
      </w:r>
      <w:r w:rsidRPr="00450DEB">
        <w:rPr>
          <w:rFonts w:ascii="Times New Roman" w:hAnsi="Times New Roman"/>
          <w:b/>
          <w:sz w:val="22"/>
          <w:szCs w:val="22"/>
          <w:lang w:val="fr-FR" w:eastAsia="cs-CZ"/>
        </w:rPr>
        <w:t>O v kontrolných a monitorovacích funkciách identifikovať indikátory podvodu</w:t>
      </w:r>
      <w:r w:rsidRPr="001B0914">
        <w:rPr>
          <w:rFonts w:ascii="Times New Roman" w:hAnsi="Times New Roman"/>
          <w:sz w:val="22"/>
          <w:szCs w:val="22"/>
          <w:lang w:val="fr-FR" w:eastAsia="cs-CZ"/>
        </w:rPr>
        <w:t xml:space="preserve"> (napr. prostredníctvom školení, samoštúdia a výmeny skúseností);</w:t>
      </w:r>
    </w:p>
    <w:p w14:paraId="2D3998A3" w14:textId="5F4DD793" w:rsidR="00383B50" w:rsidRPr="001B0914" w:rsidRDefault="00383B50" w:rsidP="00C3571B">
      <w:pPr>
        <w:numPr>
          <w:ilvl w:val="0"/>
          <w:numId w:val="13"/>
        </w:numPr>
        <w:spacing w:before="120" w:line="276" w:lineRule="auto"/>
        <w:jc w:val="both"/>
        <w:rPr>
          <w:rFonts w:ascii="Times New Roman" w:hAnsi="Times New Roman"/>
          <w:sz w:val="22"/>
          <w:szCs w:val="22"/>
          <w:lang w:val="fr-FR" w:eastAsia="cs-CZ"/>
        </w:rPr>
      </w:pPr>
      <w:r w:rsidRPr="00450DEB">
        <w:rPr>
          <w:rFonts w:ascii="Times New Roman" w:hAnsi="Times New Roman"/>
          <w:b/>
          <w:sz w:val="22"/>
          <w:szCs w:val="22"/>
          <w:lang w:val="fr-FR" w:eastAsia="cs-CZ"/>
        </w:rPr>
        <w:t>implementácia systému na oznamovanie podozrení z podvodov (tzv. „whistleblowing system“)</w:t>
      </w:r>
      <w:r w:rsidRPr="00676DEF">
        <w:rPr>
          <w:rFonts w:ascii="Times New Roman" w:hAnsi="Times New Roman"/>
          <w:sz w:val="22"/>
          <w:szCs w:val="22"/>
          <w:lang w:val="fr-FR" w:eastAsia="cs-CZ"/>
        </w:rPr>
        <w:t>, ktorého kľúčovým prvkom je ochrana oznamovateľov podvodného konania v pracovnoprávn</w:t>
      </w:r>
      <w:r w:rsidR="00D218E5" w:rsidRPr="00676DEF">
        <w:rPr>
          <w:rFonts w:ascii="Times New Roman" w:hAnsi="Times New Roman"/>
          <w:sz w:val="22"/>
          <w:szCs w:val="22"/>
          <w:lang w:val="fr-FR" w:eastAsia="cs-CZ"/>
        </w:rPr>
        <w:t>om vzťahu v zmysle Zákona č. 54/2019</w:t>
      </w:r>
      <w:r w:rsidRPr="00676DEF">
        <w:rPr>
          <w:rFonts w:ascii="Times New Roman" w:hAnsi="Times New Roman"/>
          <w:sz w:val="22"/>
          <w:szCs w:val="22"/>
          <w:lang w:val="fr-FR" w:eastAsia="cs-CZ"/>
        </w:rPr>
        <w:t xml:space="preserve"> Z.z. o </w:t>
      </w:r>
      <w:r w:rsidR="00D218E5" w:rsidRPr="00676DEF">
        <w:rPr>
          <w:rFonts w:ascii="Times New Roman" w:hAnsi="Times New Roman"/>
          <w:sz w:val="22"/>
          <w:szCs w:val="22"/>
          <w:lang w:val="fr-FR" w:eastAsia="cs-CZ"/>
        </w:rPr>
        <w:t xml:space="preserve">ochrane oznamovateľov </w:t>
      </w:r>
      <w:r w:rsidRPr="00676DEF">
        <w:rPr>
          <w:rFonts w:ascii="Times New Roman" w:hAnsi="Times New Roman"/>
          <w:sz w:val="22"/>
          <w:szCs w:val="22"/>
          <w:lang w:val="fr-FR" w:eastAsia="cs-CZ"/>
        </w:rPr>
        <w:t>protispoločenskej činnosti a o zmene a doplnení niektorých zákonov</w:t>
      </w:r>
      <w:r w:rsidR="00676DEF" w:rsidRPr="00676DEF">
        <w:rPr>
          <w:rFonts w:ascii="Times New Roman" w:hAnsi="Times New Roman"/>
          <w:sz w:val="22"/>
          <w:szCs w:val="22"/>
          <w:lang w:val="fr-FR" w:eastAsia="cs-CZ"/>
        </w:rPr>
        <w:t xml:space="preserve"> v znení neskorších predpisov</w:t>
      </w:r>
      <w:r w:rsidRPr="00676DEF">
        <w:rPr>
          <w:rFonts w:ascii="Times New Roman" w:hAnsi="Times New Roman"/>
          <w:sz w:val="22"/>
          <w:szCs w:val="22"/>
          <w:lang w:val="fr-FR" w:eastAsia="cs-CZ"/>
        </w:rPr>
        <w:t>:</w:t>
      </w:r>
    </w:p>
    <w:p w14:paraId="2D3998A4" w14:textId="78C669E5" w:rsidR="00383B50" w:rsidRPr="00DD71DC"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DD71DC">
        <w:rPr>
          <w:rFonts w:ascii="Times New Roman" w:hAnsi="Times New Roman"/>
          <w:sz w:val="22"/>
          <w:szCs w:val="22"/>
          <w:lang w:val="fr-FR" w:eastAsia="cs-CZ"/>
        </w:rPr>
        <w:t xml:space="preserve">nahlasovanie potenciálnych rizík vrátane podozrení z podvodu a nezákonného konania </w:t>
      </w:r>
      <w:r w:rsidR="0089600A" w:rsidRPr="00DD71DC">
        <w:rPr>
          <w:rFonts w:ascii="Times New Roman" w:hAnsi="Times New Roman"/>
          <w:sz w:val="22"/>
          <w:szCs w:val="22"/>
          <w:lang w:val="fr-FR" w:eastAsia="cs-CZ"/>
        </w:rPr>
        <w:t xml:space="preserve">bezodkladne svojmu nadriadenému </w:t>
      </w:r>
      <w:r w:rsidRPr="00DD71DC">
        <w:rPr>
          <w:rFonts w:ascii="Times New Roman" w:hAnsi="Times New Roman"/>
          <w:sz w:val="22"/>
          <w:szCs w:val="22"/>
          <w:lang w:val="fr-FR" w:eastAsia="cs-CZ"/>
        </w:rPr>
        <w:t xml:space="preserve">- o spôsobe vybavenia podnetov </w:t>
      </w:r>
      <w:r w:rsidR="00512DD3" w:rsidRPr="00DD71DC">
        <w:rPr>
          <w:rFonts w:ascii="Times New Roman" w:hAnsi="Times New Roman"/>
          <w:sz w:val="22"/>
          <w:szCs w:val="22"/>
          <w:lang w:val="fr-FR" w:eastAsia="cs-CZ"/>
        </w:rPr>
        <w:t xml:space="preserve">rozhodne </w:t>
      </w:r>
      <w:r w:rsidR="00512DD3" w:rsidRPr="00DD71DC">
        <w:rPr>
          <w:rFonts w:ascii="Times New Roman" w:hAnsi="Times New Roman"/>
          <w:sz w:val="22"/>
          <w:szCs w:val="22"/>
        </w:rPr>
        <w:t xml:space="preserve">tím </w:t>
      </w:r>
      <w:r w:rsidR="009E52ED">
        <w:rPr>
          <w:rFonts w:ascii="Times New Roman" w:hAnsi="Times New Roman"/>
          <w:sz w:val="22"/>
          <w:szCs w:val="22"/>
        </w:rPr>
        <w:t xml:space="preserve">pre riadenie </w:t>
      </w:r>
      <w:r w:rsidR="00512DD3" w:rsidRPr="00DD71DC">
        <w:rPr>
          <w:rFonts w:ascii="Times New Roman" w:hAnsi="Times New Roman"/>
          <w:sz w:val="22"/>
          <w:szCs w:val="22"/>
        </w:rPr>
        <w:t>rizík podvodu</w:t>
      </w:r>
      <w:r w:rsidRPr="00DD71DC">
        <w:rPr>
          <w:rFonts w:ascii="Times New Roman" w:hAnsi="Times New Roman"/>
          <w:sz w:val="22"/>
          <w:szCs w:val="22"/>
          <w:lang w:val="fr-FR" w:eastAsia="cs-CZ"/>
        </w:rPr>
        <w:t>; podozrenia z podvodu budú postúpené príslušným orgánom v zmysle platnej legislatívy SR a EÚ, ak relevantné;</w:t>
      </w:r>
    </w:p>
    <w:p w14:paraId="2D3998A5" w14:textId="67140E01" w:rsidR="00383B50" w:rsidRPr="001B557A"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1B557A">
        <w:rPr>
          <w:rFonts w:ascii="Times New Roman" w:hAnsi="Times New Roman"/>
          <w:sz w:val="22"/>
          <w:szCs w:val="22"/>
          <w:lang w:val="fr-FR" w:eastAsia="cs-CZ"/>
        </w:rPr>
        <w:t>nahlasovanie korupcie cez</w:t>
      </w:r>
      <w:r w:rsidR="001B557A" w:rsidRPr="00450DEB">
        <w:rPr>
          <w:rFonts w:ascii="Times New Roman" w:hAnsi="Times New Roman"/>
          <w:sz w:val="22"/>
          <w:szCs w:val="22"/>
          <w:lang w:val="fr-FR" w:eastAsia="cs-CZ"/>
        </w:rPr>
        <w:t xml:space="preserve"> </w:t>
      </w:r>
      <w:r w:rsidR="001B557A">
        <w:rPr>
          <w:rFonts w:ascii="Times New Roman" w:hAnsi="Times New Roman"/>
          <w:sz w:val="22"/>
          <w:szCs w:val="22"/>
          <w:lang w:val="en-US" w:eastAsia="cs-CZ"/>
        </w:rPr>
        <w:t>“</w:t>
      </w:r>
      <w:r w:rsidR="001B557A" w:rsidRPr="00450DEB">
        <w:rPr>
          <w:rFonts w:ascii="Times New Roman" w:hAnsi="Times New Roman"/>
          <w:sz w:val="22"/>
          <w:szCs w:val="22"/>
          <w:lang w:val="fr-FR" w:eastAsia="cs-CZ"/>
        </w:rPr>
        <w:t>Antikorupčnú</w:t>
      </w:r>
      <w:r w:rsidRPr="001B557A">
        <w:rPr>
          <w:rFonts w:ascii="Times New Roman" w:hAnsi="Times New Roman"/>
          <w:sz w:val="22"/>
          <w:szCs w:val="22"/>
          <w:lang w:val="fr-FR" w:eastAsia="cs-CZ"/>
        </w:rPr>
        <w:t xml:space="preserve"> link</w:t>
      </w:r>
      <w:r w:rsidR="001B557A" w:rsidRPr="00450DEB">
        <w:rPr>
          <w:rFonts w:ascii="Times New Roman" w:hAnsi="Times New Roman"/>
          <w:sz w:val="22"/>
          <w:szCs w:val="22"/>
          <w:lang w:val="fr-FR" w:eastAsia="cs-CZ"/>
        </w:rPr>
        <w:t>u</w:t>
      </w:r>
      <w:r w:rsidR="001B557A">
        <w:rPr>
          <w:rFonts w:ascii="Times New Roman" w:hAnsi="Times New Roman"/>
          <w:sz w:val="22"/>
          <w:szCs w:val="22"/>
          <w:lang w:eastAsia="cs-CZ"/>
        </w:rPr>
        <w:t>“</w:t>
      </w:r>
      <w:r w:rsidRPr="001B557A">
        <w:rPr>
          <w:rFonts w:ascii="Times New Roman" w:hAnsi="Times New Roman"/>
          <w:sz w:val="22"/>
          <w:szCs w:val="22"/>
          <w:lang w:val="fr-FR" w:eastAsia="cs-CZ"/>
        </w:rPr>
        <w:t xml:space="preserve"> zriade</w:t>
      </w:r>
      <w:r w:rsidR="001B557A" w:rsidRPr="00450DEB">
        <w:rPr>
          <w:rFonts w:ascii="Times New Roman" w:hAnsi="Times New Roman"/>
          <w:sz w:val="22"/>
          <w:szCs w:val="22"/>
          <w:lang w:val="fr-FR" w:eastAsia="cs-CZ"/>
        </w:rPr>
        <w:t>nú</w:t>
      </w:r>
      <w:r w:rsidRPr="001B557A">
        <w:rPr>
          <w:rFonts w:ascii="Times New Roman" w:hAnsi="Times New Roman"/>
          <w:sz w:val="22"/>
          <w:szCs w:val="22"/>
          <w:lang w:val="fr-FR" w:eastAsia="cs-CZ"/>
        </w:rPr>
        <w:t xml:space="preserve"> Úradom vlády SR</w:t>
      </w:r>
      <w:r w:rsidR="001B557A" w:rsidRPr="00450DEB">
        <w:rPr>
          <w:rFonts w:ascii="Times New Roman" w:hAnsi="Times New Roman"/>
          <w:sz w:val="22"/>
          <w:szCs w:val="22"/>
          <w:lang w:val="fr-FR" w:eastAsia="cs-CZ"/>
        </w:rPr>
        <w:t xml:space="preserve"> (</w:t>
      </w:r>
      <w:r w:rsidR="001B557A" w:rsidRPr="001B557A">
        <w:rPr>
          <w:rFonts w:ascii="Times New Roman" w:hAnsi="Times New Roman"/>
          <w:sz w:val="22"/>
          <w:szCs w:val="22"/>
          <w:lang w:val="fr-FR" w:eastAsia="cs-CZ"/>
        </w:rPr>
        <w:t>bezplatné telefónne číslo 0800 111 001),</w:t>
      </w:r>
      <w:r w:rsidRPr="001B557A">
        <w:rPr>
          <w:rFonts w:ascii="Times New Roman" w:hAnsi="Times New Roman"/>
          <w:sz w:val="22"/>
          <w:szCs w:val="22"/>
          <w:lang w:val="fr-FR" w:eastAsia="cs-CZ"/>
        </w:rPr>
        <w:t xml:space="preserve"> </w:t>
      </w:r>
      <w:hyperlink r:id="rId11" w:history="1">
        <w:r w:rsidRPr="001B557A">
          <w:rPr>
            <w:rStyle w:val="Hypertextovprepojenie"/>
            <w:rFonts w:ascii="Times New Roman" w:hAnsi="Times New Roman" w:cs="Times New Roman"/>
            <w:color w:val="auto"/>
            <w:sz w:val="22"/>
            <w:szCs w:val="22"/>
            <w:lang w:val="fr-FR" w:eastAsia="cs-CZ"/>
          </w:rPr>
          <w:t>www.bojprotikorupcii.vlada.gov.sk</w:t>
        </w:r>
      </w:hyperlink>
      <w:r w:rsidRPr="001B557A">
        <w:rPr>
          <w:rFonts w:ascii="Times New Roman" w:hAnsi="Times New Roman"/>
          <w:sz w:val="22"/>
          <w:szCs w:val="22"/>
          <w:lang w:val="fr-FR" w:eastAsia="cs-CZ"/>
        </w:rPr>
        <w:t xml:space="preserve"> - o spôsobe vybavenia podnetov rozhoduje Úrad vlády SR, sekcia kontroly a prevencie korupcie;</w:t>
      </w:r>
    </w:p>
    <w:p w14:paraId="2D3998A6" w14:textId="01D18583" w:rsidR="00383B50" w:rsidRPr="00726DB7" w:rsidRDefault="00383B50" w:rsidP="00C3571B">
      <w:pPr>
        <w:numPr>
          <w:ilvl w:val="0"/>
          <w:numId w:val="14"/>
        </w:numPr>
        <w:spacing w:before="120" w:line="276" w:lineRule="auto"/>
        <w:ind w:left="1418" w:hanging="709"/>
        <w:jc w:val="both"/>
        <w:rPr>
          <w:rFonts w:ascii="Times New Roman" w:hAnsi="Times New Roman"/>
          <w:sz w:val="22"/>
          <w:szCs w:val="22"/>
          <w:lang w:val="fr-FR" w:eastAsia="cs-CZ"/>
        </w:rPr>
      </w:pPr>
      <w:r w:rsidRPr="00726DB7">
        <w:rPr>
          <w:rFonts w:ascii="Times New Roman" w:hAnsi="Times New Roman"/>
          <w:sz w:val="22"/>
          <w:szCs w:val="22"/>
          <w:lang w:val="fr-FR" w:eastAsia="cs-CZ"/>
        </w:rPr>
        <w:t xml:space="preserve">nahlasovanie podozrení z trestných činov (najmä podozrení z podvodu v zmysle Dohovoru) alebo inej nezákonnej činnosti, s dopadom na finančné prostriedky EÚ a </w:t>
      </w:r>
      <w:r w:rsidR="00191D64" w:rsidRPr="00450DEB">
        <w:rPr>
          <w:rFonts w:ascii="Times New Roman" w:hAnsi="Times New Roman"/>
          <w:sz w:val="22"/>
          <w:szCs w:val="22"/>
          <w:lang w:val="fr-FR" w:eastAsia="cs-CZ"/>
        </w:rPr>
        <w:t>S</w:t>
      </w:r>
      <w:r w:rsidRPr="00726DB7">
        <w:rPr>
          <w:rFonts w:ascii="Times New Roman" w:hAnsi="Times New Roman"/>
          <w:sz w:val="22"/>
          <w:szCs w:val="22"/>
          <w:lang w:val="fr-FR" w:eastAsia="cs-CZ"/>
        </w:rPr>
        <w:t xml:space="preserve">R na e-mailovú adresu </w:t>
      </w:r>
      <w:hyperlink r:id="rId12" w:history="1">
        <w:r w:rsidRPr="00726DB7">
          <w:rPr>
            <w:rStyle w:val="Hypertextovprepojenie"/>
            <w:rFonts w:ascii="Times New Roman" w:hAnsi="Times New Roman" w:cs="Times New Roman"/>
            <w:sz w:val="22"/>
            <w:szCs w:val="22"/>
            <w:lang w:val="fr-FR" w:eastAsia="cs-CZ"/>
          </w:rPr>
          <w:t>infoirq@minv.sk</w:t>
        </w:r>
      </w:hyperlink>
      <w:r w:rsidRPr="00726DB7">
        <w:rPr>
          <w:rFonts w:ascii="Times New Roman" w:hAnsi="Times New Roman"/>
          <w:sz w:val="22"/>
          <w:szCs w:val="22"/>
          <w:lang w:val="fr-FR" w:eastAsia="cs-CZ"/>
        </w:rPr>
        <w:t xml:space="preserve"> - o spôsobe vybavenia podnetov rozhodne Národná protikorupčná jednotka, ktorej operatívni pracovníci posúdia podozrenie z nezákonnej trestnej činnosti, nahlasovanie podozrenia z korupcie na národnej úrovni v SR je možné vykonať e-mailom/telefonicky na adresu :</w:t>
      </w:r>
    </w:p>
    <w:p w14:paraId="2D3998A7" w14:textId="77777777" w:rsidR="00383B50" w:rsidRPr="00726DB7" w:rsidRDefault="00383B50" w:rsidP="00C3571B">
      <w:pPr>
        <w:pStyle w:val="Odsekzoznamu"/>
        <w:spacing w:before="120" w:line="276" w:lineRule="auto"/>
        <w:ind w:firstLine="698"/>
        <w:jc w:val="both"/>
        <w:rPr>
          <w:rFonts w:ascii="Times New Roman" w:hAnsi="Times New Roman" w:cs="Times New Roman"/>
          <w:sz w:val="22"/>
          <w:lang w:val="fr-FR"/>
        </w:rPr>
      </w:pPr>
      <w:r w:rsidRPr="00726DB7">
        <w:rPr>
          <w:rFonts w:ascii="Times New Roman" w:hAnsi="Times New Roman" w:cs="Times New Roman"/>
          <w:sz w:val="22"/>
          <w:lang w:val="fr-FR"/>
        </w:rPr>
        <w:t>Národná protikorupčná jednotka</w:t>
      </w:r>
    </w:p>
    <w:p w14:paraId="2D3998A8" w14:textId="77777777" w:rsidR="00383B50" w:rsidRPr="00726DB7" w:rsidRDefault="00383B50" w:rsidP="00C3571B">
      <w:pPr>
        <w:pStyle w:val="Odsekzoznamu"/>
        <w:spacing w:before="120" w:line="276" w:lineRule="auto"/>
        <w:ind w:firstLine="698"/>
        <w:jc w:val="both"/>
        <w:rPr>
          <w:rFonts w:ascii="Times New Roman" w:hAnsi="Times New Roman" w:cs="Times New Roman"/>
          <w:sz w:val="22"/>
          <w:lang w:val="fr-FR"/>
        </w:rPr>
      </w:pPr>
      <w:r w:rsidRPr="00726DB7">
        <w:rPr>
          <w:rFonts w:ascii="Times New Roman" w:hAnsi="Times New Roman" w:cs="Times New Roman"/>
          <w:sz w:val="22"/>
          <w:lang w:val="fr-FR"/>
        </w:rPr>
        <w:t>expozitúra Bratislava</w:t>
      </w:r>
    </w:p>
    <w:p w14:paraId="2D3998A9" w14:textId="77777777" w:rsidR="00383B50" w:rsidRPr="00726DB7" w:rsidRDefault="00383B50" w:rsidP="00C3571B">
      <w:pPr>
        <w:pStyle w:val="Odsekzoznamu"/>
        <w:spacing w:before="120" w:line="276" w:lineRule="auto"/>
        <w:ind w:firstLine="698"/>
        <w:jc w:val="both"/>
        <w:rPr>
          <w:rFonts w:ascii="Times New Roman" w:hAnsi="Times New Roman" w:cs="Times New Roman"/>
          <w:sz w:val="22"/>
          <w:lang w:val="fr-FR"/>
        </w:rPr>
      </w:pPr>
      <w:r w:rsidRPr="00726DB7">
        <w:rPr>
          <w:rFonts w:ascii="Times New Roman" w:hAnsi="Times New Roman" w:cs="Times New Roman"/>
          <w:sz w:val="22"/>
          <w:lang w:val="fr-FR"/>
        </w:rPr>
        <w:t>Račianska 45</w:t>
      </w:r>
    </w:p>
    <w:p w14:paraId="2D3998AA" w14:textId="77777777" w:rsidR="00383B50" w:rsidRPr="00726DB7" w:rsidRDefault="00383B50" w:rsidP="00C3571B">
      <w:pPr>
        <w:pStyle w:val="Odsekzoznamu"/>
        <w:spacing w:before="120" w:line="276" w:lineRule="auto"/>
        <w:ind w:firstLine="698"/>
        <w:jc w:val="both"/>
        <w:rPr>
          <w:rFonts w:ascii="Times New Roman" w:hAnsi="Times New Roman" w:cs="Times New Roman"/>
          <w:sz w:val="22"/>
          <w:lang w:val="fr-FR"/>
        </w:rPr>
      </w:pPr>
      <w:r w:rsidRPr="00726DB7">
        <w:rPr>
          <w:rFonts w:ascii="Times New Roman" w:hAnsi="Times New Roman" w:cs="Times New Roman"/>
          <w:sz w:val="22"/>
          <w:lang w:val="fr-FR"/>
        </w:rPr>
        <w:t>812 72 Bratislava</w:t>
      </w:r>
    </w:p>
    <w:p w14:paraId="2D3998AB" w14:textId="77777777" w:rsidR="00383B50" w:rsidRPr="00726DB7" w:rsidRDefault="00383B50" w:rsidP="00C3571B">
      <w:pPr>
        <w:pStyle w:val="Odsekzoznamu"/>
        <w:spacing w:before="120" w:line="276" w:lineRule="auto"/>
        <w:ind w:firstLine="698"/>
        <w:jc w:val="both"/>
        <w:rPr>
          <w:rFonts w:ascii="Times New Roman" w:hAnsi="Times New Roman" w:cs="Times New Roman"/>
          <w:sz w:val="22"/>
          <w:lang w:val="fr-FR"/>
        </w:rPr>
      </w:pPr>
      <w:r w:rsidRPr="00726DB7">
        <w:rPr>
          <w:rFonts w:ascii="Times New Roman" w:hAnsi="Times New Roman" w:cs="Times New Roman"/>
          <w:sz w:val="22"/>
          <w:lang w:val="fr-FR"/>
        </w:rPr>
        <w:t>tel.: 09610 56371</w:t>
      </w:r>
    </w:p>
    <w:p w14:paraId="2D3998AC" w14:textId="77777777" w:rsidR="00383B50" w:rsidRPr="00726DB7" w:rsidRDefault="00383B50" w:rsidP="00C3571B">
      <w:pPr>
        <w:pStyle w:val="Odsekzoznamu"/>
        <w:spacing w:before="120" w:line="276" w:lineRule="auto"/>
        <w:ind w:firstLine="698"/>
        <w:jc w:val="both"/>
        <w:rPr>
          <w:rFonts w:ascii="Times New Roman" w:hAnsi="Times New Roman" w:cs="Times New Roman"/>
          <w:sz w:val="22"/>
          <w:lang w:val="fr-FR"/>
        </w:rPr>
      </w:pPr>
      <w:r w:rsidRPr="00726DB7">
        <w:rPr>
          <w:rFonts w:ascii="Times New Roman" w:hAnsi="Times New Roman" w:cs="Times New Roman"/>
          <w:sz w:val="22"/>
          <w:lang w:val="fr-FR"/>
        </w:rPr>
        <w:t>fax: 09610 59151</w:t>
      </w:r>
    </w:p>
    <w:p w14:paraId="2D3998AD" w14:textId="18EA2413" w:rsidR="00383B50" w:rsidRPr="00726DB7" w:rsidRDefault="00383B50" w:rsidP="00C3571B">
      <w:pPr>
        <w:pStyle w:val="Odsekzoznamu"/>
        <w:spacing w:before="120" w:line="276" w:lineRule="auto"/>
        <w:ind w:firstLine="698"/>
        <w:jc w:val="both"/>
        <w:rPr>
          <w:rFonts w:ascii="Times New Roman" w:hAnsi="Times New Roman" w:cs="Times New Roman"/>
          <w:sz w:val="22"/>
          <w:lang w:val="fr-FR"/>
        </w:rPr>
      </w:pPr>
      <w:r w:rsidRPr="00726DB7">
        <w:rPr>
          <w:rFonts w:ascii="Times New Roman" w:hAnsi="Times New Roman" w:cs="Times New Roman"/>
          <w:sz w:val="22"/>
          <w:lang w:val="fr-FR"/>
        </w:rPr>
        <w:t xml:space="preserve">e-mail: </w:t>
      </w:r>
      <w:hyperlink r:id="rId13" w:history="1">
        <w:r w:rsidR="00CA3F66" w:rsidRPr="00433620">
          <w:rPr>
            <w:rStyle w:val="Hypertextovprepojenie"/>
            <w:rFonts w:ascii="Times New Roman" w:hAnsi="Times New Roman" w:cs="Times New Roman"/>
            <w:sz w:val="22"/>
            <w:lang w:val="fr-FR"/>
          </w:rPr>
          <w:t>korupcia@minv.sk</w:t>
        </w:r>
      </w:hyperlink>
      <w:r w:rsidR="00CA3F66">
        <w:rPr>
          <w:rFonts w:ascii="Times New Roman" w:hAnsi="Times New Roman" w:cs="Times New Roman"/>
          <w:sz w:val="22"/>
          <w:lang w:val="fr-FR"/>
        </w:rPr>
        <w:t xml:space="preserve"> </w:t>
      </w:r>
    </w:p>
    <w:p w14:paraId="2D3998AF" w14:textId="64229A99" w:rsidR="00383B50" w:rsidRPr="001B557A" w:rsidRDefault="00383B50" w:rsidP="00D218E5">
      <w:pPr>
        <w:numPr>
          <w:ilvl w:val="0"/>
          <w:numId w:val="14"/>
        </w:numPr>
        <w:spacing w:before="120" w:line="276" w:lineRule="auto"/>
        <w:ind w:left="1418" w:hanging="709"/>
        <w:jc w:val="both"/>
        <w:rPr>
          <w:rFonts w:ascii="Times New Roman" w:hAnsi="Times New Roman"/>
          <w:sz w:val="22"/>
          <w:szCs w:val="22"/>
          <w:lang w:val="fr-FR" w:eastAsia="cs-CZ"/>
        </w:rPr>
      </w:pPr>
      <w:r w:rsidRPr="001B557A">
        <w:rPr>
          <w:rFonts w:ascii="Times New Roman" w:hAnsi="Times New Roman"/>
          <w:sz w:val="22"/>
          <w:szCs w:val="22"/>
          <w:lang w:val="fr-FR" w:eastAsia="cs-CZ"/>
        </w:rPr>
        <w:t xml:space="preserve">anonymné nahlasovanie podozrení z podvodov a nezrovnalostí s dopadom na finančné prostriedky EÚ Európskemu úradu pre boj proti podvodom (ďalej len „OLAF EK“)  </w:t>
      </w:r>
      <w:hyperlink r:id="rId14" w:history="1">
        <w:r w:rsidRPr="001B557A">
          <w:rPr>
            <w:rStyle w:val="Hypertextovprepojenie"/>
            <w:rFonts w:ascii="Times New Roman" w:hAnsi="Times New Roman" w:cs="Times New Roman"/>
            <w:color w:val="auto"/>
            <w:sz w:val="22"/>
            <w:szCs w:val="22"/>
            <w:lang w:val="fr-FR" w:eastAsia="cs-CZ"/>
          </w:rPr>
          <w:t>https://fns.olaf.europa.eu/</w:t>
        </w:r>
      </w:hyperlink>
      <w:r w:rsidRPr="001B557A">
        <w:rPr>
          <w:rFonts w:ascii="Times New Roman" w:hAnsi="Times New Roman"/>
          <w:sz w:val="22"/>
          <w:szCs w:val="22"/>
          <w:lang w:val="fr-FR" w:eastAsia="cs-CZ"/>
        </w:rPr>
        <w:t xml:space="preserve"> - o spôsobe vybavenia podnetov rozhoduje OLAF EK.</w:t>
      </w:r>
    </w:p>
    <w:p w14:paraId="2D3998B0" w14:textId="77777777" w:rsidR="00383B50" w:rsidRPr="001D4785" w:rsidRDefault="00383B50" w:rsidP="00C3571B">
      <w:pPr>
        <w:spacing w:before="120" w:line="276" w:lineRule="auto"/>
        <w:jc w:val="both"/>
        <w:rPr>
          <w:rFonts w:ascii="Times New Roman" w:hAnsi="Times New Roman"/>
          <w:sz w:val="22"/>
          <w:szCs w:val="22"/>
          <w:lang w:val="fr-FR" w:eastAsia="cs-CZ"/>
        </w:rPr>
      </w:pPr>
      <w:r w:rsidRPr="001D4785">
        <w:rPr>
          <w:rFonts w:ascii="Times New Roman" w:hAnsi="Times New Roman"/>
          <w:sz w:val="22"/>
          <w:szCs w:val="22"/>
          <w:lang w:val="fr-FR" w:eastAsia="cs-CZ"/>
        </w:rPr>
        <w:t xml:space="preserve">V zmysle § 3 ods. 2 Trestného poriadku štátne orgány, vyššie územné celky, obce a iné právnické osoby sú povinné bezodkladne oznamovať orgánom činným v trestnom konaní skutočnosti nasvedčujúce tomu, že bol spáchaný trestný čin a včas vybavovať dožiadania orgánov činných v trestnom konaní a súdov. </w:t>
      </w:r>
    </w:p>
    <w:p w14:paraId="2D3998B1" w14:textId="5DFBB1FA" w:rsidR="00383B50" w:rsidRPr="00450DEB" w:rsidRDefault="00557670" w:rsidP="008A7BA8">
      <w:pPr>
        <w:pStyle w:val="tl4"/>
        <w:ind w:firstLine="284"/>
        <w:rPr>
          <w:color w:val="0070C0"/>
          <w:sz w:val="22"/>
          <w:szCs w:val="22"/>
        </w:rPr>
      </w:pPr>
      <w:bookmarkStart w:id="41" w:name="_Toc45873736"/>
      <w:bookmarkStart w:id="42" w:name="_Toc420332624"/>
      <w:bookmarkStart w:id="43" w:name="_Toc97642169"/>
      <w:r w:rsidRPr="00450DEB">
        <w:rPr>
          <w:color w:val="0070C0"/>
          <w:sz w:val="22"/>
          <w:szCs w:val="22"/>
        </w:rPr>
        <w:t xml:space="preserve">6.3 </w:t>
      </w:r>
      <w:r w:rsidR="00383B50" w:rsidRPr="00450DEB">
        <w:rPr>
          <w:color w:val="0070C0"/>
          <w:sz w:val="22"/>
          <w:szCs w:val="22"/>
        </w:rPr>
        <w:t>N</w:t>
      </w:r>
      <w:r w:rsidR="002D3EEE" w:rsidRPr="00450DEB">
        <w:rPr>
          <w:color w:val="0070C0"/>
          <w:sz w:val="22"/>
          <w:szCs w:val="22"/>
        </w:rPr>
        <w:t>ÁPRAVA A STÍHANIE</w:t>
      </w:r>
      <w:bookmarkEnd w:id="41"/>
      <w:bookmarkEnd w:id="42"/>
      <w:bookmarkEnd w:id="43"/>
    </w:p>
    <w:p w14:paraId="2D3998B2" w14:textId="2FFF3045" w:rsidR="00383B50" w:rsidRPr="006F6C64" w:rsidRDefault="00383B50" w:rsidP="00C3571B">
      <w:pPr>
        <w:spacing w:before="120" w:line="276" w:lineRule="auto"/>
        <w:jc w:val="both"/>
        <w:rPr>
          <w:rFonts w:ascii="Times New Roman" w:hAnsi="Times New Roman"/>
          <w:sz w:val="22"/>
          <w:szCs w:val="22"/>
          <w:lang w:eastAsia="cs-CZ"/>
        </w:rPr>
      </w:pPr>
      <w:r w:rsidRPr="006F6C64">
        <w:rPr>
          <w:rFonts w:ascii="Times New Roman" w:hAnsi="Times New Roman"/>
          <w:sz w:val="22"/>
          <w:szCs w:val="22"/>
          <w:lang w:eastAsia="cs-CZ"/>
        </w:rPr>
        <w:t xml:space="preserve">V procese implementácie je </w:t>
      </w:r>
      <w:r w:rsidR="00D242BB" w:rsidRPr="00450DEB">
        <w:rPr>
          <w:rFonts w:ascii="Times New Roman" w:hAnsi="Times New Roman"/>
          <w:sz w:val="22"/>
          <w:szCs w:val="22"/>
          <w:lang w:eastAsia="cs-CZ"/>
        </w:rPr>
        <w:t xml:space="preserve">RO </w:t>
      </w:r>
      <w:r w:rsidRPr="006F6C64">
        <w:rPr>
          <w:rFonts w:ascii="Times New Roman" w:hAnsi="Times New Roman"/>
          <w:sz w:val="22"/>
          <w:szCs w:val="22"/>
          <w:lang w:eastAsia="cs-CZ"/>
        </w:rPr>
        <w:t>povinný</w:t>
      </w:r>
      <w:r w:rsidR="0089600A" w:rsidRPr="006F6C64">
        <w:rPr>
          <w:rFonts w:ascii="Times New Roman" w:hAnsi="Times New Roman"/>
          <w:sz w:val="22"/>
          <w:szCs w:val="22"/>
          <w:lang w:eastAsia="cs-CZ"/>
        </w:rPr>
        <w:t xml:space="preserve"> </w:t>
      </w:r>
      <w:r w:rsidRPr="006F6C64">
        <w:rPr>
          <w:rFonts w:ascii="Times New Roman" w:hAnsi="Times New Roman"/>
          <w:sz w:val="22"/>
          <w:szCs w:val="22"/>
          <w:lang w:eastAsia="cs-CZ"/>
        </w:rPr>
        <w:t>bezodkladne oznámiť identifikované podozrenie z  podvodu v súlade s požiadavkami SR a EÚ príslušnému orgánu zodpovednému za</w:t>
      </w:r>
      <w:r w:rsidRPr="006F6C64">
        <w:rPr>
          <w:rFonts w:ascii="Times New Roman" w:hAnsi="Times New Roman"/>
          <w:sz w:val="22"/>
          <w:szCs w:val="22"/>
          <w:lang w:val="en-US" w:eastAsia="cs-CZ"/>
        </w:rPr>
        <w:t xml:space="preserve"> </w:t>
      </w:r>
      <w:r w:rsidRPr="006F6C64">
        <w:rPr>
          <w:rFonts w:ascii="Times New Roman" w:hAnsi="Times New Roman"/>
          <w:sz w:val="22"/>
          <w:szCs w:val="22"/>
          <w:lang w:eastAsia="cs-CZ"/>
        </w:rPr>
        <w:t xml:space="preserve">vyšetrovanie. </w:t>
      </w:r>
    </w:p>
    <w:p w14:paraId="2D3998B3" w14:textId="7C33778C" w:rsidR="00383B50" w:rsidRPr="00C22461" w:rsidRDefault="00383B50" w:rsidP="00C3571B">
      <w:pPr>
        <w:autoSpaceDE w:val="0"/>
        <w:autoSpaceDN w:val="0"/>
        <w:adjustRightInd w:val="0"/>
        <w:spacing w:before="120" w:line="276" w:lineRule="auto"/>
        <w:jc w:val="both"/>
        <w:rPr>
          <w:rFonts w:ascii="Times New Roman" w:hAnsi="Times New Roman"/>
          <w:sz w:val="22"/>
          <w:szCs w:val="22"/>
        </w:rPr>
      </w:pPr>
      <w:r w:rsidRPr="000D3B37">
        <w:rPr>
          <w:rFonts w:ascii="Times New Roman" w:hAnsi="Times New Roman"/>
          <w:sz w:val="22"/>
          <w:szCs w:val="22"/>
          <w:lang w:eastAsia="cs-CZ"/>
        </w:rPr>
        <w:lastRenderedPageBreak/>
        <w:t xml:space="preserve">V prípade akéhokoľvek podozrenia, že bol v procese implementácie </w:t>
      </w:r>
      <w:r w:rsidR="000D3B37" w:rsidRPr="00450DEB">
        <w:rPr>
          <w:rFonts w:ascii="Times New Roman" w:hAnsi="Times New Roman"/>
          <w:sz w:val="22"/>
          <w:szCs w:val="22"/>
          <w:lang w:eastAsia="cs-CZ"/>
        </w:rPr>
        <w:t>programov</w:t>
      </w:r>
      <w:r w:rsidRPr="000D3B37">
        <w:rPr>
          <w:rFonts w:ascii="Times New Roman" w:hAnsi="Times New Roman"/>
          <w:sz w:val="22"/>
          <w:szCs w:val="22"/>
          <w:lang w:eastAsia="cs-CZ"/>
        </w:rPr>
        <w:t xml:space="preserve"> spáchaný trestný čin (napr. </w:t>
      </w:r>
      <w:r w:rsidR="00D05EA8">
        <w:rPr>
          <w:rFonts w:ascii="Times New Roman" w:hAnsi="Times New Roman"/>
          <w:sz w:val="22"/>
          <w:szCs w:val="22"/>
          <w:lang w:eastAsia="cs-CZ"/>
        </w:rPr>
        <w:t>trestný čin m</w:t>
      </w:r>
      <w:r w:rsidR="00D05EA8" w:rsidRPr="00D05EA8">
        <w:rPr>
          <w:rFonts w:ascii="Times New Roman" w:hAnsi="Times New Roman"/>
          <w:sz w:val="22"/>
          <w:szCs w:val="22"/>
          <w:lang w:eastAsia="cs-CZ"/>
        </w:rPr>
        <w:t>achinácie pri verejnom obstarávaní a verejnej dražbe</w:t>
      </w:r>
      <w:r w:rsidR="00D05EA8">
        <w:rPr>
          <w:rFonts w:ascii="Times New Roman" w:hAnsi="Times New Roman"/>
          <w:sz w:val="22"/>
          <w:szCs w:val="22"/>
          <w:lang w:eastAsia="cs-CZ"/>
        </w:rPr>
        <w:t xml:space="preserve">, </w:t>
      </w:r>
      <w:r w:rsidRPr="000D3B37">
        <w:rPr>
          <w:rFonts w:ascii="Times New Roman" w:hAnsi="Times New Roman"/>
          <w:sz w:val="22"/>
          <w:szCs w:val="22"/>
          <w:lang w:eastAsia="cs-CZ"/>
        </w:rPr>
        <w:t>subvenčný podvod, poškodzovanie finančných záujmov E</w:t>
      </w:r>
      <w:r w:rsidR="000D3B37" w:rsidRPr="00450DEB">
        <w:rPr>
          <w:rFonts w:ascii="Times New Roman" w:hAnsi="Times New Roman"/>
          <w:sz w:val="22"/>
          <w:szCs w:val="22"/>
          <w:lang w:eastAsia="cs-CZ"/>
        </w:rPr>
        <w:t>Ú</w:t>
      </w:r>
      <w:r w:rsidRPr="000D3B37">
        <w:rPr>
          <w:rFonts w:ascii="Times New Roman" w:hAnsi="Times New Roman"/>
          <w:sz w:val="22"/>
          <w:szCs w:val="22"/>
          <w:lang w:eastAsia="cs-CZ"/>
        </w:rPr>
        <w:t>, falšovanie a pozmeňovanie verejnej listiny, úradnej pečate, úradnej uzávery, úradného znaku a úradnej značky v súlade s Trestným zákonom) podľa § 3</w:t>
      </w:r>
      <w:r w:rsidR="00423FFC" w:rsidRPr="000D3B37">
        <w:rPr>
          <w:rFonts w:ascii="Times New Roman" w:hAnsi="Times New Roman"/>
          <w:sz w:val="22"/>
          <w:szCs w:val="22"/>
          <w:lang w:eastAsia="cs-CZ"/>
        </w:rPr>
        <w:t xml:space="preserve"> ods. 2 Trestného poriadku, je </w:t>
      </w:r>
      <w:r w:rsidR="004277E9" w:rsidRPr="000D3B37">
        <w:rPr>
          <w:rFonts w:ascii="Times New Roman" w:hAnsi="Times New Roman"/>
          <w:sz w:val="22"/>
          <w:szCs w:val="22"/>
          <w:lang w:eastAsia="cs-CZ"/>
        </w:rPr>
        <w:t>R</w:t>
      </w:r>
      <w:r w:rsidRPr="000D3B37">
        <w:rPr>
          <w:rFonts w:ascii="Times New Roman" w:hAnsi="Times New Roman"/>
          <w:sz w:val="22"/>
          <w:szCs w:val="22"/>
          <w:lang w:eastAsia="cs-CZ"/>
        </w:rPr>
        <w:t xml:space="preserve">O povinný túto skutočnosť </w:t>
      </w:r>
      <w:r w:rsidRPr="00450DEB">
        <w:rPr>
          <w:rFonts w:ascii="Times New Roman" w:hAnsi="Times New Roman"/>
          <w:b/>
          <w:bCs/>
          <w:sz w:val="22"/>
          <w:szCs w:val="22"/>
          <w:lang w:eastAsia="cs-CZ"/>
        </w:rPr>
        <w:t xml:space="preserve">bezodkladne oznámiť orgánom činným v trestnom konaní </w:t>
      </w:r>
      <w:r w:rsidRPr="00C22461">
        <w:rPr>
          <w:rFonts w:ascii="Times New Roman" w:hAnsi="Times New Roman"/>
          <w:sz w:val="22"/>
          <w:szCs w:val="22"/>
          <w:lang w:eastAsia="cs-CZ"/>
        </w:rPr>
        <w:t>(napr. Generálna prokuratúra SR, Prezídium policajného zboru - Národná kriminálna agentúra).</w:t>
      </w:r>
    </w:p>
    <w:p w14:paraId="2D3998B4" w14:textId="77777777" w:rsidR="00383B50" w:rsidRPr="00C22461" w:rsidRDefault="00383B50" w:rsidP="00C3571B">
      <w:pPr>
        <w:spacing w:before="120" w:line="276" w:lineRule="auto"/>
        <w:jc w:val="both"/>
        <w:rPr>
          <w:rFonts w:ascii="Times New Roman" w:hAnsi="Times New Roman"/>
          <w:sz w:val="22"/>
          <w:szCs w:val="22"/>
          <w:lang w:eastAsia="cs-CZ"/>
        </w:rPr>
      </w:pPr>
      <w:r w:rsidRPr="00450DEB">
        <w:rPr>
          <w:rFonts w:ascii="Times New Roman" w:hAnsi="Times New Roman"/>
          <w:b/>
          <w:bCs/>
          <w:sz w:val="22"/>
          <w:szCs w:val="22"/>
          <w:lang w:eastAsia="cs-CZ"/>
        </w:rPr>
        <w:t>Oznamovanie podozrení</w:t>
      </w:r>
      <w:r w:rsidRPr="00C22461">
        <w:rPr>
          <w:rFonts w:ascii="Times New Roman" w:hAnsi="Times New Roman"/>
          <w:sz w:val="22"/>
          <w:szCs w:val="22"/>
          <w:lang w:eastAsia="cs-CZ"/>
        </w:rPr>
        <w:t xml:space="preserve"> z podvodu príslušným orgánom vykonáva SEP a SE v spolupráci s odborom právnych služieb MV SR v súlade s platným Organizačným poriadkom MV SR.</w:t>
      </w:r>
    </w:p>
    <w:p w14:paraId="10EB34C4" w14:textId="1100141B" w:rsidR="00C464D9" w:rsidRPr="00E85EBC" w:rsidRDefault="00383B50" w:rsidP="00C3571B">
      <w:pPr>
        <w:spacing w:before="120" w:line="276" w:lineRule="auto"/>
        <w:jc w:val="both"/>
        <w:rPr>
          <w:rFonts w:ascii="Times New Roman" w:hAnsi="Times New Roman"/>
          <w:sz w:val="22"/>
          <w:szCs w:val="22"/>
          <w:lang w:eastAsia="cs-CZ"/>
        </w:rPr>
      </w:pPr>
      <w:r w:rsidRPr="00C22461">
        <w:rPr>
          <w:rFonts w:ascii="Times New Roman" w:hAnsi="Times New Roman"/>
          <w:sz w:val="22"/>
          <w:szCs w:val="22"/>
          <w:lang w:eastAsia="cs-CZ"/>
        </w:rPr>
        <w:t>V prípade potvrdenia podozrenia z podvodu</w:t>
      </w:r>
      <w:r w:rsidRPr="00E85EBC">
        <w:rPr>
          <w:rFonts w:ascii="Times New Roman" w:hAnsi="Times New Roman"/>
          <w:sz w:val="22"/>
          <w:szCs w:val="22"/>
          <w:lang w:eastAsia="cs-CZ"/>
        </w:rPr>
        <w:t xml:space="preserve"> nasleduje konanie upravené zákonom podľa toho, ktorý orgán podozrenie potvrdil (napr. správne, trestné, občianskoprávne alebo di</w:t>
      </w:r>
      <w:r w:rsidR="0089600A" w:rsidRPr="00E85EBC">
        <w:rPr>
          <w:rFonts w:ascii="Times New Roman" w:hAnsi="Times New Roman"/>
          <w:sz w:val="22"/>
          <w:szCs w:val="22"/>
          <w:lang w:eastAsia="cs-CZ"/>
        </w:rPr>
        <w:t xml:space="preserve">sciplinárne konanie). Následne </w:t>
      </w:r>
      <w:r w:rsidR="004277E9" w:rsidRPr="00E85EBC">
        <w:rPr>
          <w:rFonts w:ascii="Times New Roman" w:hAnsi="Times New Roman"/>
          <w:sz w:val="22"/>
          <w:szCs w:val="22"/>
          <w:lang w:eastAsia="cs-CZ"/>
        </w:rPr>
        <w:t>R</w:t>
      </w:r>
      <w:r w:rsidRPr="00E85EBC">
        <w:rPr>
          <w:rFonts w:ascii="Times New Roman" w:hAnsi="Times New Roman"/>
          <w:sz w:val="22"/>
          <w:szCs w:val="22"/>
          <w:lang w:eastAsia="cs-CZ"/>
        </w:rPr>
        <w:t>O prehodnotí nastavené riadiace a kontrolné systémy súvisiace s podvodom s cieľom identifikácie nedostatkov a prijatia nápravných opatrení</w:t>
      </w:r>
      <w:r w:rsidR="00C139D6">
        <w:rPr>
          <w:rFonts w:ascii="Times New Roman" w:hAnsi="Times New Roman"/>
          <w:sz w:val="22"/>
          <w:szCs w:val="22"/>
          <w:lang w:eastAsia="cs-CZ"/>
        </w:rPr>
        <w:t>,</w:t>
      </w:r>
      <w:r w:rsidRPr="00E85EBC">
        <w:rPr>
          <w:rFonts w:ascii="Times New Roman" w:hAnsi="Times New Roman"/>
          <w:sz w:val="22"/>
          <w:szCs w:val="22"/>
          <w:lang w:eastAsia="cs-CZ"/>
        </w:rPr>
        <w:t xml:space="preserve"> </w:t>
      </w:r>
      <w:r w:rsidR="00C139D6">
        <w:rPr>
          <w:rFonts w:ascii="Times New Roman" w:hAnsi="Times New Roman"/>
          <w:sz w:val="22"/>
          <w:szCs w:val="22"/>
          <w:lang w:eastAsia="cs-CZ"/>
        </w:rPr>
        <w:t>pozastaví</w:t>
      </w:r>
      <w:r w:rsidR="00C139D6" w:rsidRPr="00C139D6">
        <w:rPr>
          <w:rFonts w:ascii="Times New Roman" w:hAnsi="Times New Roman"/>
          <w:sz w:val="22"/>
          <w:szCs w:val="22"/>
          <w:lang w:eastAsia="cs-CZ"/>
        </w:rPr>
        <w:t xml:space="preserve"> f</w:t>
      </w:r>
      <w:r w:rsidR="00C139D6">
        <w:rPr>
          <w:rFonts w:ascii="Times New Roman" w:hAnsi="Times New Roman"/>
          <w:sz w:val="22"/>
          <w:szCs w:val="22"/>
          <w:lang w:eastAsia="cs-CZ"/>
        </w:rPr>
        <w:t>inancovanie projektu, zaeviduje/aktualizuje</w:t>
      </w:r>
      <w:r w:rsidR="00C139D6" w:rsidRPr="00C139D6">
        <w:rPr>
          <w:rFonts w:ascii="Times New Roman" w:hAnsi="Times New Roman"/>
          <w:sz w:val="22"/>
          <w:szCs w:val="22"/>
          <w:lang w:eastAsia="cs-CZ"/>
        </w:rPr>
        <w:t xml:space="preserve"> nezrovnalosť a</w:t>
      </w:r>
      <w:r w:rsidR="0097736F">
        <w:rPr>
          <w:rFonts w:ascii="Times New Roman" w:hAnsi="Times New Roman"/>
          <w:sz w:val="22"/>
          <w:szCs w:val="22"/>
          <w:lang w:eastAsia="cs-CZ"/>
        </w:rPr>
        <w:t> </w:t>
      </w:r>
      <w:r w:rsidR="00C139D6" w:rsidRPr="00C139D6">
        <w:rPr>
          <w:rFonts w:ascii="Times New Roman" w:hAnsi="Times New Roman"/>
          <w:sz w:val="22"/>
          <w:szCs w:val="22"/>
          <w:lang w:eastAsia="cs-CZ"/>
        </w:rPr>
        <w:t>pod</w:t>
      </w:r>
      <w:r w:rsidR="0097736F">
        <w:rPr>
          <w:rFonts w:ascii="Times New Roman" w:hAnsi="Times New Roman"/>
          <w:sz w:val="22"/>
          <w:szCs w:val="22"/>
          <w:lang w:eastAsia="cs-CZ"/>
        </w:rPr>
        <w:t>.</w:t>
      </w:r>
      <w:r w:rsidR="00C139D6">
        <w:rPr>
          <w:rFonts w:ascii="Times New Roman" w:hAnsi="Times New Roman"/>
          <w:sz w:val="22"/>
          <w:szCs w:val="22"/>
          <w:lang w:eastAsia="cs-CZ"/>
        </w:rPr>
        <w:t xml:space="preserve"> (ak relevantné)</w:t>
      </w:r>
      <w:r w:rsidR="00C139D6" w:rsidRPr="00C139D6">
        <w:rPr>
          <w:rFonts w:ascii="Times New Roman" w:hAnsi="Times New Roman"/>
          <w:sz w:val="22"/>
          <w:szCs w:val="22"/>
          <w:lang w:eastAsia="cs-CZ"/>
        </w:rPr>
        <w:t xml:space="preserve">.  </w:t>
      </w:r>
      <w:r w:rsidR="0097736F">
        <w:rPr>
          <w:rFonts w:ascii="Times New Roman" w:hAnsi="Times New Roman"/>
          <w:sz w:val="22"/>
          <w:szCs w:val="22"/>
          <w:lang w:eastAsia="cs-CZ"/>
        </w:rPr>
        <w:t xml:space="preserve">Je </w:t>
      </w:r>
      <w:r w:rsidR="00C139D6" w:rsidRPr="00C139D6">
        <w:rPr>
          <w:rFonts w:ascii="Times New Roman" w:hAnsi="Times New Roman"/>
          <w:sz w:val="22"/>
          <w:szCs w:val="22"/>
          <w:lang w:eastAsia="cs-CZ"/>
        </w:rPr>
        <w:t xml:space="preserve">potrebná okamžitá </w:t>
      </w:r>
      <w:r w:rsidR="0097736F">
        <w:rPr>
          <w:rFonts w:ascii="Times New Roman" w:hAnsi="Times New Roman"/>
          <w:sz w:val="22"/>
          <w:szCs w:val="22"/>
          <w:lang w:eastAsia="cs-CZ"/>
        </w:rPr>
        <w:t xml:space="preserve">aktivita </w:t>
      </w:r>
      <w:r w:rsidR="00C139D6" w:rsidRPr="00C139D6">
        <w:rPr>
          <w:rFonts w:ascii="Times New Roman" w:hAnsi="Times New Roman"/>
          <w:sz w:val="22"/>
          <w:szCs w:val="22"/>
          <w:lang w:eastAsia="cs-CZ"/>
        </w:rPr>
        <w:t>zamestnancov</w:t>
      </w:r>
      <w:r w:rsidR="0097736F">
        <w:rPr>
          <w:rFonts w:ascii="Times New Roman" w:hAnsi="Times New Roman"/>
          <w:sz w:val="22"/>
          <w:szCs w:val="22"/>
          <w:lang w:eastAsia="cs-CZ"/>
        </w:rPr>
        <w:t xml:space="preserve"> v oblasti nápravných opatrení</w:t>
      </w:r>
      <w:r w:rsidR="00C139D6" w:rsidRPr="00C139D6">
        <w:rPr>
          <w:rFonts w:ascii="Times New Roman" w:hAnsi="Times New Roman"/>
          <w:sz w:val="22"/>
          <w:szCs w:val="22"/>
          <w:lang w:eastAsia="cs-CZ"/>
        </w:rPr>
        <w:t xml:space="preserve">. </w:t>
      </w:r>
    </w:p>
    <w:p w14:paraId="6BF75A5B" w14:textId="78979524" w:rsidR="002D3EEE" w:rsidRPr="00450DEB" w:rsidRDefault="009455D4" w:rsidP="008A7BA8">
      <w:pPr>
        <w:pStyle w:val="tl4"/>
        <w:ind w:left="-142" w:firstLine="0"/>
        <w:rPr>
          <w:color w:val="0070C0"/>
          <w:sz w:val="22"/>
          <w:szCs w:val="22"/>
        </w:rPr>
      </w:pPr>
      <w:bookmarkStart w:id="44" w:name="_Toc45873737"/>
      <w:bookmarkStart w:id="45" w:name="_Toc420332625"/>
      <w:r w:rsidRPr="00450DEB">
        <w:rPr>
          <w:color w:val="0070C0"/>
          <w:sz w:val="22"/>
          <w:szCs w:val="22"/>
        </w:rPr>
        <w:tab/>
      </w:r>
      <w:r w:rsidR="008A7BA8" w:rsidRPr="00450DEB">
        <w:rPr>
          <w:color w:val="0070C0"/>
          <w:sz w:val="22"/>
          <w:szCs w:val="22"/>
        </w:rPr>
        <w:t xml:space="preserve">     </w:t>
      </w:r>
      <w:bookmarkStart w:id="46" w:name="_Toc97642170"/>
      <w:r w:rsidRPr="00450DEB">
        <w:rPr>
          <w:color w:val="0070C0"/>
          <w:sz w:val="22"/>
          <w:szCs w:val="22"/>
        </w:rPr>
        <w:t xml:space="preserve">6.4 </w:t>
      </w:r>
      <w:r w:rsidR="00A64AB1" w:rsidRPr="00450DEB">
        <w:rPr>
          <w:color w:val="0070C0"/>
          <w:sz w:val="22"/>
          <w:szCs w:val="22"/>
        </w:rPr>
        <w:t>K</w:t>
      </w:r>
      <w:r w:rsidR="002D3EEE" w:rsidRPr="00450DEB">
        <w:rPr>
          <w:color w:val="0070C0"/>
          <w:sz w:val="22"/>
          <w:szCs w:val="22"/>
        </w:rPr>
        <w:t xml:space="preserve">OORDINÁCIA </w:t>
      </w:r>
      <w:r w:rsidR="00DD3060">
        <w:rPr>
          <w:color w:val="0070C0"/>
          <w:sz w:val="22"/>
          <w:szCs w:val="22"/>
        </w:rPr>
        <w:t>NA NÁRODNEJ ÚROVNI</w:t>
      </w:r>
    </w:p>
    <w:bookmarkEnd w:id="44"/>
    <w:bookmarkEnd w:id="45"/>
    <w:bookmarkEnd w:id="46"/>
    <w:p w14:paraId="2D3998B7" w14:textId="77777777" w:rsidR="00383B50" w:rsidRPr="004C0F64" w:rsidRDefault="00383B50" w:rsidP="00C3571B">
      <w:pPr>
        <w:spacing w:before="120" w:line="276" w:lineRule="auto"/>
        <w:jc w:val="both"/>
        <w:rPr>
          <w:rFonts w:ascii="Times New Roman" w:hAnsi="Times New Roman"/>
          <w:sz w:val="22"/>
          <w:szCs w:val="22"/>
          <w:lang w:eastAsia="cs-CZ"/>
        </w:rPr>
      </w:pPr>
      <w:r w:rsidRPr="004C0F64">
        <w:rPr>
          <w:rFonts w:ascii="Times New Roman" w:hAnsi="Times New Roman"/>
          <w:sz w:val="22"/>
          <w:szCs w:val="22"/>
          <w:lang w:eastAsia="cs-CZ"/>
        </w:rPr>
        <w:t xml:space="preserve">Európska komisia zriadila za účelom zvýšenia účinnosti boja proti podvodom s finančnými prostriedkami EÚ rozhodnutím č. 1999/352/ES z 28. apríla 1999 </w:t>
      </w:r>
      <w:r w:rsidRPr="00450DEB">
        <w:rPr>
          <w:rFonts w:ascii="Times New Roman" w:hAnsi="Times New Roman"/>
          <w:b/>
          <w:bCs/>
          <w:sz w:val="22"/>
          <w:szCs w:val="22"/>
          <w:lang w:eastAsia="cs-CZ"/>
        </w:rPr>
        <w:t>Európsky úrad pre boj proti podvodom (ďalej len „OLAF“)</w:t>
      </w:r>
      <w:r w:rsidRPr="004C0F64">
        <w:rPr>
          <w:rFonts w:ascii="Times New Roman" w:hAnsi="Times New Roman"/>
          <w:sz w:val="22"/>
          <w:szCs w:val="22"/>
          <w:lang w:eastAsia="cs-CZ"/>
        </w:rPr>
        <w:t xml:space="preserve"> so sídlom v Bruseli. OLAF je nezávislý úrad zodpovedný za vykonávanie vyšetrovaní podvodov, korupcie a iných nezákonných činností, vrátane zneužitia úradnej moci v rámci európskych inštitúcií.</w:t>
      </w:r>
    </w:p>
    <w:p w14:paraId="11E01752" w14:textId="3CE3F614" w:rsidR="00D12484" w:rsidRDefault="00775F2A" w:rsidP="00C3571B">
      <w:pPr>
        <w:spacing w:before="120" w:line="276" w:lineRule="auto"/>
        <w:jc w:val="both"/>
        <w:rPr>
          <w:rFonts w:ascii="Times New Roman" w:hAnsi="Times New Roman"/>
          <w:sz w:val="22"/>
          <w:szCs w:val="22"/>
          <w:highlight w:val="yellow"/>
          <w:lang w:eastAsia="cs-CZ"/>
        </w:rPr>
      </w:pPr>
      <w:r w:rsidRPr="00450DEB">
        <w:rPr>
          <w:rFonts w:ascii="Times New Roman" w:hAnsi="Times New Roman"/>
          <w:sz w:val="22"/>
          <w:szCs w:val="22"/>
          <w:lang w:eastAsia="cs-CZ"/>
        </w:rPr>
        <w:t>V</w:t>
      </w:r>
      <w:r>
        <w:rPr>
          <w:rFonts w:ascii="Times New Roman" w:hAnsi="Times New Roman"/>
          <w:sz w:val="22"/>
          <w:szCs w:val="22"/>
          <w:lang w:eastAsia="cs-CZ"/>
        </w:rPr>
        <w:t> </w:t>
      </w:r>
      <w:r w:rsidRPr="00450DEB">
        <w:rPr>
          <w:rFonts w:ascii="Times New Roman" w:hAnsi="Times New Roman"/>
          <w:sz w:val="22"/>
          <w:szCs w:val="22"/>
          <w:lang w:eastAsia="cs-CZ"/>
        </w:rPr>
        <w:t>zmysle</w:t>
      </w:r>
      <w:r>
        <w:rPr>
          <w:rFonts w:ascii="Times New Roman" w:hAnsi="Times New Roman"/>
          <w:sz w:val="22"/>
          <w:szCs w:val="22"/>
          <w:lang w:eastAsia="cs-CZ"/>
        </w:rPr>
        <w:t xml:space="preserve"> </w:t>
      </w:r>
      <w:r w:rsidRPr="00450DEB">
        <w:rPr>
          <w:rFonts w:ascii="Times New Roman" w:hAnsi="Times New Roman"/>
          <w:b/>
          <w:bCs/>
          <w:sz w:val="22"/>
          <w:szCs w:val="22"/>
          <w:lang w:eastAsia="cs-CZ"/>
        </w:rPr>
        <w:t>§</w:t>
      </w:r>
      <w:r w:rsidR="00A55A63">
        <w:rPr>
          <w:rFonts w:ascii="Times New Roman" w:hAnsi="Times New Roman"/>
          <w:b/>
          <w:bCs/>
          <w:sz w:val="22"/>
          <w:szCs w:val="22"/>
          <w:lang w:eastAsia="cs-CZ"/>
        </w:rPr>
        <w:t xml:space="preserve"> </w:t>
      </w:r>
      <w:r w:rsidRPr="00450DEB">
        <w:rPr>
          <w:rFonts w:ascii="Times New Roman" w:hAnsi="Times New Roman"/>
          <w:b/>
          <w:bCs/>
          <w:sz w:val="22"/>
          <w:szCs w:val="22"/>
          <w:lang w:eastAsia="cs-CZ"/>
        </w:rPr>
        <w:t>8 zákona o príspevkoch z fondov EÚ</w:t>
      </w:r>
      <w:r>
        <w:rPr>
          <w:rFonts w:ascii="Times New Roman" w:hAnsi="Times New Roman"/>
          <w:sz w:val="22"/>
          <w:szCs w:val="22"/>
          <w:lang w:eastAsia="cs-CZ"/>
        </w:rPr>
        <w:t xml:space="preserve"> je </w:t>
      </w:r>
      <w:r w:rsidRPr="00450DEB">
        <w:rPr>
          <w:rFonts w:ascii="Times New Roman" w:hAnsi="Times New Roman"/>
          <w:b/>
          <w:bCs/>
          <w:sz w:val="22"/>
          <w:szCs w:val="22"/>
          <w:lang w:eastAsia="cs-CZ"/>
        </w:rPr>
        <w:t>Orgánom zabezpečujúcim ochranu finančných záujmov</w:t>
      </w:r>
      <w:r>
        <w:rPr>
          <w:rFonts w:ascii="Times New Roman" w:hAnsi="Times New Roman"/>
          <w:sz w:val="22"/>
          <w:szCs w:val="22"/>
          <w:lang w:eastAsia="cs-CZ"/>
        </w:rPr>
        <w:t xml:space="preserve"> fondov EÚ v SR </w:t>
      </w:r>
      <w:r w:rsidRPr="00450DEB">
        <w:rPr>
          <w:rFonts w:ascii="Times New Roman" w:hAnsi="Times New Roman"/>
          <w:b/>
          <w:bCs/>
          <w:sz w:val="22"/>
          <w:szCs w:val="22"/>
          <w:lang w:eastAsia="cs-CZ"/>
        </w:rPr>
        <w:t>Úrad vlády SR</w:t>
      </w:r>
      <w:r w:rsidR="00F478AF">
        <w:rPr>
          <w:rFonts w:ascii="Times New Roman" w:hAnsi="Times New Roman"/>
          <w:sz w:val="22"/>
          <w:szCs w:val="22"/>
          <w:lang w:eastAsia="cs-CZ"/>
        </w:rPr>
        <w:t>,</w:t>
      </w:r>
      <w:r w:rsidR="00467224">
        <w:rPr>
          <w:rStyle w:val="Odkaznapoznmkupodiarou"/>
          <w:szCs w:val="22"/>
          <w:lang w:eastAsia="cs-CZ"/>
        </w:rPr>
        <w:footnoteReference w:id="10"/>
      </w:r>
      <w:r w:rsidR="00A85A3B">
        <w:rPr>
          <w:rFonts w:ascii="Times New Roman" w:hAnsi="Times New Roman"/>
          <w:sz w:val="22"/>
          <w:szCs w:val="22"/>
          <w:lang w:eastAsia="cs-CZ"/>
        </w:rPr>
        <w:t xml:space="preserve"> </w:t>
      </w:r>
      <w:r w:rsidR="00F478AF" w:rsidRPr="00E91B83">
        <w:rPr>
          <w:rFonts w:ascii="Times New Roman" w:hAnsi="Times New Roman"/>
          <w:sz w:val="22"/>
          <w:szCs w:val="22"/>
          <w:lang w:eastAsia="cs-CZ"/>
        </w:rPr>
        <w:t>Odbor Národný úrad pre OLAF</w:t>
      </w:r>
      <w:r w:rsidR="00F478AF">
        <w:rPr>
          <w:rFonts w:ascii="Times New Roman" w:hAnsi="Times New Roman"/>
          <w:sz w:val="22"/>
          <w:szCs w:val="22"/>
          <w:lang w:eastAsia="cs-CZ"/>
        </w:rPr>
        <w:t xml:space="preserve">. </w:t>
      </w:r>
      <w:r w:rsidR="00A85A3B">
        <w:rPr>
          <w:rFonts w:ascii="Times New Roman" w:hAnsi="Times New Roman"/>
          <w:sz w:val="22"/>
          <w:szCs w:val="22"/>
          <w:lang w:eastAsia="cs-CZ"/>
        </w:rPr>
        <w:t xml:space="preserve">Tento orgán je zároveň </w:t>
      </w:r>
      <w:r w:rsidR="00A85A3B" w:rsidRPr="00450DEB">
        <w:rPr>
          <w:rFonts w:ascii="Times New Roman" w:hAnsi="Times New Roman"/>
          <w:b/>
          <w:bCs/>
          <w:sz w:val="22"/>
          <w:szCs w:val="22"/>
          <w:lang w:eastAsia="cs-CZ"/>
        </w:rPr>
        <w:t>koordinačným útvarom pre boj proti podvodom</w:t>
      </w:r>
      <w:r w:rsidR="006A5415">
        <w:rPr>
          <w:rStyle w:val="Odkaznapoznmkupodiarou"/>
          <w:b/>
          <w:bCs/>
          <w:szCs w:val="22"/>
          <w:lang w:eastAsia="cs-CZ"/>
        </w:rPr>
        <w:footnoteReference w:id="11"/>
      </w:r>
      <w:r w:rsidR="000D2F1D">
        <w:rPr>
          <w:rFonts w:ascii="Times New Roman" w:hAnsi="Times New Roman"/>
          <w:sz w:val="22"/>
          <w:szCs w:val="22"/>
          <w:lang w:eastAsia="cs-CZ"/>
        </w:rPr>
        <w:t xml:space="preserve"> a poskytuje súčinnosť pri administratívnom vyšetrovaní.</w:t>
      </w:r>
      <w:r w:rsidR="006A5415">
        <w:rPr>
          <w:rStyle w:val="Odkaznapoznmkupodiarou"/>
          <w:szCs w:val="22"/>
          <w:lang w:eastAsia="cs-CZ"/>
        </w:rPr>
        <w:footnoteReference w:id="12"/>
      </w:r>
      <w:r w:rsidR="00553544">
        <w:rPr>
          <w:rFonts w:ascii="Times New Roman" w:hAnsi="Times New Roman"/>
          <w:sz w:val="22"/>
          <w:szCs w:val="22"/>
          <w:lang w:eastAsia="cs-CZ"/>
        </w:rPr>
        <w:t xml:space="preserve"> </w:t>
      </w:r>
      <w:r w:rsidR="00AF0A87">
        <w:rPr>
          <w:rFonts w:ascii="Times New Roman" w:hAnsi="Times New Roman"/>
          <w:sz w:val="22"/>
          <w:szCs w:val="22"/>
          <w:lang w:eastAsia="cs-CZ"/>
        </w:rPr>
        <w:t xml:space="preserve">Zabezpečuje, koordinuje a monitoruje výmenu informácií medzi subjektmi verejnej správy a vo vzťahu k orgánom EÚ, ak ide o podozrenia z podvodov a ďalších protiprávnych konaní. </w:t>
      </w:r>
      <w:r w:rsidR="00553544">
        <w:rPr>
          <w:rFonts w:ascii="Times New Roman" w:hAnsi="Times New Roman"/>
          <w:sz w:val="22"/>
          <w:szCs w:val="22"/>
          <w:lang w:eastAsia="cs-CZ"/>
        </w:rPr>
        <w:t>RO poskytuje Úradu vlády SR súčinnosť pri plnení jeho úloh.</w:t>
      </w:r>
    </w:p>
    <w:p w14:paraId="2D3998B9" w14:textId="3DFC67D4" w:rsidR="00383B50" w:rsidRPr="00D12484" w:rsidRDefault="00383B50" w:rsidP="00C3571B">
      <w:pPr>
        <w:spacing w:before="120" w:line="276" w:lineRule="auto"/>
        <w:jc w:val="both"/>
        <w:rPr>
          <w:rFonts w:ascii="Times New Roman" w:hAnsi="Times New Roman"/>
          <w:sz w:val="22"/>
          <w:szCs w:val="22"/>
          <w:lang w:eastAsia="cs-CZ"/>
        </w:rPr>
      </w:pPr>
      <w:r w:rsidRPr="00450DEB">
        <w:rPr>
          <w:rFonts w:ascii="Times New Roman" w:hAnsi="Times New Roman"/>
          <w:b/>
          <w:bCs/>
          <w:sz w:val="22"/>
          <w:szCs w:val="22"/>
          <w:lang w:eastAsia="cs-CZ"/>
        </w:rPr>
        <w:t>Sieť AFCOS</w:t>
      </w:r>
      <w:r w:rsidR="00D12484" w:rsidRPr="00450DEB">
        <w:rPr>
          <w:rFonts w:ascii="Times New Roman" w:hAnsi="Times New Roman"/>
          <w:b/>
          <w:bCs/>
          <w:sz w:val="22"/>
          <w:szCs w:val="22"/>
          <w:lang w:eastAsia="cs-CZ"/>
        </w:rPr>
        <w:t xml:space="preserve"> </w:t>
      </w:r>
      <w:r w:rsidR="00D12484" w:rsidRPr="00450DEB">
        <w:rPr>
          <w:rFonts w:ascii="Times New Roman" w:hAnsi="Times New Roman"/>
          <w:sz w:val="22"/>
          <w:szCs w:val="22"/>
          <w:lang w:eastAsia="cs-CZ"/>
        </w:rPr>
        <w:t>(Anti-fraud coordination service - Koordinačný útvar pre boj proti podvodom)</w:t>
      </w:r>
      <w:r w:rsidRPr="00D12484">
        <w:rPr>
          <w:rFonts w:ascii="Times New Roman" w:hAnsi="Times New Roman"/>
          <w:sz w:val="22"/>
          <w:szCs w:val="22"/>
          <w:lang w:eastAsia="cs-CZ"/>
        </w:rPr>
        <w:t xml:space="preserve"> pozostáva z orgánov a inštitúcií SR (tzv. sieťových partnerov), ktoré poskytujú finančné prostriedky EÚ a iným spôsobom s týmito prostriedkami narábajú, sú príslušné kontrolovať zaobchádzanie s týmito prostriedkami a je im zverená právomoc plniť úlohy týkajúce sa ochrany finančných záujmov EÚ. Hlavným cieľom siete AFCOS je vzájomná spolupráca pri plnení úloh v oblasti ochrany finančných záujmov EÚ a efektívna komunikácia s OLAF a s ostatnými členskými štátmi. </w:t>
      </w:r>
    </w:p>
    <w:p w14:paraId="2D3998BA" w14:textId="2AFBCEE7" w:rsidR="00383B50" w:rsidRPr="000F6F27" w:rsidRDefault="00383B50" w:rsidP="00C3571B">
      <w:pPr>
        <w:spacing w:before="120" w:line="276" w:lineRule="auto"/>
        <w:jc w:val="both"/>
        <w:rPr>
          <w:rFonts w:ascii="Times New Roman" w:hAnsi="Times New Roman"/>
          <w:sz w:val="22"/>
          <w:szCs w:val="22"/>
          <w:lang w:eastAsia="cs-CZ"/>
        </w:rPr>
      </w:pPr>
      <w:r w:rsidRPr="000F6F27">
        <w:rPr>
          <w:rFonts w:ascii="Times New Roman" w:hAnsi="Times New Roman"/>
          <w:sz w:val="22"/>
          <w:szCs w:val="22"/>
          <w:lang w:eastAsia="cs-CZ"/>
        </w:rPr>
        <w:t xml:space="preserve">MV SR je sieťovým partnerom AFCOS a ako orgán štátnej správy spolupracuje s ostatnými členmi siete AFCOS na základe zákona č. 575/2001 Z. z. o organizácii činnosti vlády a organizácii ústrednej štátnej správy v znení neskorších predpisov. </w:t>
      </w:r>
    </w:p>
    <w:p w14:paraId="2D3998BB" w14:textId="77777777" w:rsidR="00383B50" w:rsidRPr="00DF7F88" w:rsidRDefault="00383B50" w:rsidP="00C3571B">
      <w:pPr>
        <w:spacing w:before="120" w:line="276" w:lineRule="auto"/>
        <w:jc w:val="both"/>
        <w:rPr>
          <w:rFonts w:ascii="Times New Roman" w:hAnsi="Times New Roman"/>
          <w:sz w:val="22"/>
          <w:szCs w:val="22"/>
          <w:lang w:eastAsia="cs-CZ"/>
        </w:rPr>
      </w:pPr>
      <w:r w:rsidRPr="00DF7F88">
        <w:rPr>
          <w:rFonts w:ascii="Times New Roman" w:hAnsi="Times New Roman"/>
          <w:sz w:val="22"/>
          <w:szCs w:val="22"/>
          <w:lang w:eastAsia="cs-CZ"/>
        </w:rPr>
        <w:lastRenderedPageBreak/>
        <w:t xml:space="preserve">Koordináciu a spoluprácu sieťových partnerov AFCOS zabezpečuje Riadiaci výbor pre ochranu finančných záujmov EÚ v SR (ďalej len „Riadiaci výbor“), ktorý zároveň dohliada na plnenie opatrení Národnej stratégie na ochranu finančných záujmov EÚ v SR. </w:t>
      </w:r>
    </w:p>
    <w:p w14:paraId="2D3998C2" w14:textId="498E87C8" w:rsidR="00383B50" w:rsidRPr="00450DEB" w:rsidRDefault="00383B50" w:rsidP="00450DEB">
      <w:pPr>
        <w:spacing w:before="120" w:line="276" w:lineRule="auto"/>
        <w:jc w:val="both"/>
        <w:rPr>
          <w:rFonts w:ascii="Times New Roman" w:hAnsi="Times New Roman"/>
          <w:sz w:val="22"/>
          <w:szCs w:val="22"/>
          <w:highlight w:val="yellow"/>
          <w:lang w:eastAsia="cs-CZ"/>
        </w:rPr>
      </w:pPr>
      <w:r w:rsidRPr="00DF7F88">
        <w:rPr>
          <w:rFonts w:ascii="Times New Roman" w:hAnsi="Times New Roman"/>
          <w:sz w:val="22"/>
          <w:szCs w:val="22"/>
          <w:lang w:eastAsia="cs-CZ"/>
        </w:rPr>
        <w:t xml:space="preserve">Riadiaci výbor zriaďuje na riešenie úloh týkajúcich sa ochrany finančných záujmov EÚ v SR pracovné </w:t>
      </w:r>
      <w:r w:rsidR="00A64AB1" w:rsidRPr="00DF7F88">
        <w:rPr>
          <w:rFonts w:ascii="Times New Roman" w:hAnsi="Times New Roman"/>
          <w:sz w:val="22"/>
          <w:szCs w:val="22"/>
          <w:lang w:eastAsia="cs-CZ"/>
        </w:rPr>
        <w:t>skupiny, ktoré poskytujú ONÚ</w:t>
      </w:r>
      <w:r w:rsidRPr="00DF7F88">
        <w:rPr>
          <w:rFonts w:ascii="Times New Roman" w:hAnsi="Times New Roman"/>
          <w:sz w:val="22"/>
          <w:szCs w:val="22"/>
          <w:lang w:eastAsia="cs-CZ"/>
        </w:rPr>
        <w:t xml:space="preserve"> OLAF svoje závery ako podklady a návrhy na vypracovanie metodických materiálov. Členmi pracovných skupín sú zástupcovia menovaní sieťovými partnermi.</w:t>
      </w:r>
    </w:p>
    <w:p w14:paraId="35E3D9C8" w14:textId="129BE101" w:rsidR="00E4522D" w:rsidRPr="00DF7F88" w:rsidRDefault="00E4522D" w:rsidP="00C3571B">
      <w:pPr>
        <w:spacing w:line="276" w:lineRule="auto"/>
        <w:rPr>
          <w:rFonts w:ascii="Times New Roman" w:hAnsi="Times New Roman"/>
          <w:sz w:val="22"/>
          <w:szCs w:val="22"/>
        </w:rPr>
      </w:pPr>
    </w:p>
    <w:p w14:paraId="68F362A9" w14:textId="02596B19" w:rsidR="00E4522D" w:rsidRPr="00DC4585" w:rsidRDefault="00E4522D" w:rsidP="00CB23F4">
      <w:pPr>
        <w:pStyle w:val="Nadpis2"/>
        <w:tabs>
          <w:tab w:val="left" w:pos="284"/>
        </w:tabs>
        <w:spacing w:line="276" w:lineRule="auto"/>
        <w:ind w:left="0" w:firstLine="0"/>
        <w:rPr>
          <w:rStyle w:val="tl3Char"/>
          <w:color w:val="0070C0"/>
          <w:sz w:val="24"/>
          <w:szCs w:val="24"/>
        </w:rPr>
      </w:pPr>
      <w:bookmarkStart w:id="47" w:name="_Toc97642171"/>
      <w:r w:rsidRPr="00DC4585">
        <w:rPr>
          <w:rFonts w:ascii="Times New Roman" w:hAnsi="Times New Roman"/>
          <w:b/>
          <w:color w:val="0070C0"/>
          <w:lang w:val="sk-SK"/>
        </w:rPr>
        <w:t xml:space="preserve">7.   </w:t>
      </w:r>
      <w:r w:rsidRPr="00DC4585">
        <w:rPr>
          <w:rStyle w:val="tl3Char"/>
          <w:color w:val="0070C0"/>
          <w:sz w:val="24"/>
          <w:szCs w:val="24"/>
        </w:rPr>
        <w:t>Z</w:t>
      </w:r>
      <w:r w:rsidR="00A7030D" w:rsidRPr="00A7030D">
        <w:rPr>
          <w:rStyle w:val="tl3Char"/>
          <w:color w:val="0070C0"/>
          <w:sz w:val="24"/>
          <w:szCs w:val="24"/>
        </w:rPr>
        <w:t>OZNAM PRÍLOH</w:t>
      </w:r>
      <w:bookmarkEnd w:id="47"/>
    </w:p>
    <w:p w14:paraId="6EE454F8" w14:textId="6A368930" w:rsidR="00E4522D" w:rsidRPr="00DC4585" w:rsidRDefault="00E4522D" w:rsidP="00E4522D">
      <w:pPr>
        <w:rPr>
          <w:rFonts w:ascii="Times New Roman" w:hAnsi="Times New Roman"/>
          <w:sz w:val="22"/>
          <w:szCs w:val="22"/>
          <w:lang w:val="en-US" w:eastAsia="en-US"/>
        </w:rPr>
      </w:pPr>
    </w:p>
    <w:p w14:paraId="37D54B02" w14:textId="78A90BED" w:rsidR="00E4522D" w:rsidRPr="00DC4585" w:rsidRDefault="00E4522D" w:rsidP="00E4522D">
      <w:pPr>
        <w:spacing w:line="276" w:lineRule="auto"/>
        <w:jc w:val="both"/>
        <w:rPr>
          <w:rFonts w:ascii="Times New Roman" w:hAnsi="Times New Roman"/>
          <w:sz w:val="22"/>
          <w:szCs w:val="22"/>
        </w:rPr>
      </w:pPr>
      <w:r w:rsidRPr="00DC4585">
        <w:rPr>
          <w:rFonts w:ascii="Times New Roman" w:hAnsi="Times New Roman"/>
          <w:sz w:val="22"/>
          <w:szCs w:val="22"/>
        </w:rPr>
        <w:t xml:space="preserve">Príloha č. 1 </w:t>
      </w:r>
      <w:r w:rsidRPr="00DC4585">
        <w:rPr>
          <w:rFonts w:ascii="Times New Roman" w:hAnsi="Times New Roman"/>
          <w:sz w:val="22"/>
          <w:szCs w:val="22"/>
        </w:rPr>
        <w:tab/>
        <w:t>Zoznam rizík podvodov</w:t>
      </w:r>
    </w:p>
    <w:p w14:paraId="2A4F628C" w14:textId="4893F3B0" w:rsidR="00E4522D" w:rsidRPr="00DC4585" w:rsidRDefault="00E4522D" w:rsidP="00E4522D">
      <w:pPr>
        <w:spacing w:line="276" w:lineRule="auto"/>
        <w:jc w:val="both"/>
        <w:rPr>
          <w:rFonts w:ascii="Times New Roman" w:hAnsi="Times New Roman"/>
          <w:sz w:val="22"/>
          <w:szCs w:val="22"/>
        </w:rPr>
      </w:pPr>
      <w:r w:rsidRPr="00DC4585">
        <w:rPr>
          <w:rFonts w:ascii="Times New Roman" w:hAnsi="Times New Roman"/>
          <w:sz w:val="22"/>
          <w:szCs w:val="22"/>
        </w:rPr>
        <w:t xml:space="preserve">Príloha č. 2 </w:t>
      </w:r>
      <w:r w:rsidRPr="00DC4585">
        <w:rPr>
          <w:rFonts w:ascii="Times New Roman" w:hAnsi="Times New Roman"/>
          <w:sz w:val="22"/>
          <w:szCs w:val="22"/>
        </w:rPr>
        <w:tab/>
        <w:t>Nástroj na vlastné posúdenie</w:t>
      </w:r>
    </w:p>
    <w:p w14:paraId="2A6BB7A6" w14:textId="3F9B8A11" w:rsidR="00DC12F8" w:rsidRPr="00C8627A" w:rsidRDefault="00E4522D" w:rsidP="00450DEB">
      <w:pPr>
        <w:spacing w:line="276" w:lineRule="auto"/>
        <w:jc w:val="both"/>
        <w:rPr>
          <w:rFonts w:ascii="Times New Roman" w:hAnsi="Times New Roman"/>
          <w:sz w:val="22"/>
          <w:szCs w:val="22"/>
        </w:rPr>
      </w:pPr>
      <w:r w:rsidRPr="00DC4585">
        <w:rPr>
          <w:rFonts w:ascii="Times New Roman" w:hAnsi="Times New Roman"/>
          <w:sz w:val="22"/>
          <w:szCs w:val="22"/>
        </w:rPr>
        <w:t xml:space="preserve">Príloha č. 3 </w:t>
      </w:r>
      <w:r w:rsidRPr="00DC4585">
        <w:rPr>
          <w:rFonts w:ascii="Times New Roman" w:hAnsi="Times New Roman"/>
          <w:sz w:val="22"/>
          <w:szCs w:val="22"/>
        </w:rPr>
        <w:tab/>
        <w:t>Politika boja proti podvodom</w:t>
      </w:r>
    </w:p>
    <w:sectPr w:rsidR="00DC12F8" w:rsidRPr="00C8627A" w:rsidSect="00825C44">
      <w:footerReference w:type="default" r:id="rId15"/>
      <w:headerReference w:type="first" r:id="rId16"/>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82966" w16cex:dateUtc="2023-06-17T10:45:00Z"/>
  <w16cex:commentExtensible w16cex:durableId="28382666" w16cex:dateUtc="2023-06-17T1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1A7581" w16cid:durableId="28382966"/>
  <w16cid:commentId w16cid:paraId="4930AEE3" w16cid:durableId="283826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1BCFF" w14:textId="77777777" w:rsidR="00452E87" w:rsidRDefault="00452E87" w:rsidP="00383B50">
      <w:r>
        <w:separator/>
      </w:r>
    </w:p>
  </w:endnote>
  <w:endnote w:type="continuationSeparator" w:id="0">
    <w:p w14:paraId="17753409" w14:textId="77777777" w:rsidR="00452E87" w:rsidRDefault="00452E87" w:rsidP="00383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font>
  <w:font w:name="Mangal">
    <w:panose1 w:val="00000400000000000000"/>
    <w:charset w:val="01"/>
    <w:family w:val="roman"/>
    <w:pitch w:val="variable"/>
    <w:sig w:usb0="00002000" w:usb1="00000000" w:usb2="00000000" w:usb3="00000000" w:csb0="00000000" w:csb1="00000000"/>
  </w:font>
  <w:font w:name="EUAlbertin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655813"/>
      <w:docPartObj>
        <w:docPartGallery w:val="Page Numbers (Bottom of Page)"/>
        <w:docPartUnique/>
      </w:docPartObj>
    </w:sdtPr>
    <w:sdtEndPr/>
    <w:sdtContent>
      <w:p w14:paraId="23209293" w14:textId="6AEAECCA" w:rsidR="00452E87" w:rsidRDefault="00452E87">
        <w:pPr>
          <w:pStyle w:val="Pta"/>
          <w:jc w:val="center"/>
        </w:pPr>
        <w:r>
          <w:fldChar w:fldCharType="begin"/>
        </w:r>
        <w:r>
          <w:instrText>PAGE   \* MERGEFORMAT</w:instrText>
        </w:r>
        <w:r>
          <w:fldChar w:fldCharType="separate"/>
        </w:r>
        <w:r w:rsidR="009B50C8">
          <w:rPr>
            <w:noProof/>
          </w:rPr>
          <w:t>2</w:t>
        </w:r>
        <w:r>
          <w:fldChar w:fldCharType="end"/>
        </w:r>
      </w:p>
    </w:sdtContent>
  </w:sdt>
  <w:p w14:paraId="21077B81" w14:textId="77777777" w:rsidR="00452E87" w:rsidRDefault="00452E8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58CEE" w14:textId="77777777" w:rsidR="00452E87" w:rsidRDefault="00452E87" w:rsidP="00383B50">
      <w:r>
        <w:separator/>
      </w:r>
    </w:p>
  </w:footnote>
  <w:footnote w:type="continuationSeparator" w:id="0">
    <w:p w14:paraId="26F440D2" w14:textId="77777777" w:rsidR="00452E87" w:rsidRDefault="00452E87" w:rsidP="00383B50">
      <w:r>
        <w:continuationSeparator/>
      </w:r>
    </w:p>
  </w:footnote>
  <w:footnote w:id="1">
    <w:p w14:paraId="08301A59" w14:textId="590C21F7" w:rsidR="00452E87" w:rsidRDefault="00452E87" w:rsidP="00450DEB">
      <w:pPr>
        <w:pStyle w:val="Textpoznmkypodiarou"/>
        <w:ind w:left="142" w:hanging="142"/>
        <w:jc w:val="both"/>
      </w:pPr>
      <w:r>
        <w:rPr>
          <w:rStyle w:val="Odkaznapoznmkupodiarou"/>
        </w:rPr>
        <w:footnoteRef/>
      </w:r>
      <w:r>
        <w:t xml:space="preserve"> </w:t>
      </w:r>
      <w:r w:rsidRPr="00BB0826">
        <w:rPr>
          <w:rFonts w:ascii="Times New Roman" w:hAnsi="Times New Roman"/>
          <w:sz w:val="20"/>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30.6.2021).</w:t>
      </w:r>
    </w:p>
  </w:footnote>
  <w:footnote w:id="2">
    <w:p w14:paraId="3654DECD" w14:textId="6EFCE95A" w:rsidR="00452E87" w:rsidRPr="00450DEB" w:rsidRDefault="00452E87">
      <w:pPr>
        <w:pStyle w:val="Textpoznmkypodiarou"/>
        <w:rPr>
          <w:rFonts w:ascii="Times New Roman" w:hAnsi="Times New Roman" w:cs="Times New Roman"/>
          <w:sz w:val="20"/>
          <w:szCs w:val="20"/>
        </w:rPr>
      </w:pPr>
      <w:r>
        <w:rPr>
          <w:rStyle w:val="Odkaznapoznmkupodiarou"/>
        </w:rPr>
        <w:footnoteRef/>
      </w:r>
      <w:r>
        <w:t xml:space="preserve">  </w:t>
      </w:r>
      <w:r w:rsidRPr="00450DEB">
        <w:rPr>
          <w:rFonts w:ascii="Times New Roman" w:hAnsi="Times New Roman" w:cs="Times New Roman"/>
          <w:sz w:val="20"/>
          <w:szCs w:val="20"/>
        </w:rPr>
        <w:t>Príloha XI nariadenia o spoločných ustanoveniach</w:t>
      </w:r>
      <w:r>
        <w:rPr>
          <w:rFonts w:ascii="Times New Roman" w:hAnsi="Times New Roman" w:cs="Times New Roman"/>
          <w:sz w:val="20"/>
          <w:szCs w:val="20"/>
        </w:rPr>
        <w:t>: „Kľúčové požiadavky na systémy riadenia a kontroly“.</w:t>
      </w:r>
    </w:p>
  </w:footnote>
  <w:footnote w:id="3">
    <w:p w14:paraId="1FC8EF80" w14:textId="0C347941" w:rsidR="00452E87" w:rsidRDefault="00452E87">
      <w:pPr>
        <w:pStyle w:val="Textpoznmkypodiarou"/>
      </w:pPr>
      <w:r>
        <w:rPr>
          <w:rStyle w:val="Odkaznapoznmkupodiarou"/>
        </w:rPr>
        <w:footnoteRef/>
      </w:r>
      <w:r>
        <w:t xml:space="preserve"> </w:t>
      </w:r>
      <w:r w:rsidRPr="00474A66">
        <w:rPr>
          <w:rFonts w:ascii="Times New Roman" w:hAnsi="Times New Roman" w:cs="Times New Roman"/>
          <w:sz w:val="20"/>
          <w:szCs w:val="20"/>
        </w:rPr>
        <w:t xml:space="preserve">Zákon č. </w:t>
      </w:r>
      <w:r>
        <w:rPr>
          <w:rFonts w:ascii="Times New Roman" w:hAnsi="Times New Roman" w:cs="Times New Roman"/>
          <w:sz w:val="20"/>
          <w:szCs w:val="20"/>
        </w:rPr>
        <w:t>121/2022 Z. z. o príspevkoch z fondov Európskej únie a o zmene a doplnení niektorých zákonov.</w:t>
      </w:r>
    </w:p>
  </w:footnote>
  <w:footnote w:id="4">
    <w:p w14:paraId="2440C553" w14:textId="2D3BC895" w:rsidR="00452E87" w:rsidRPr="007A2ACF" w:rsidRDefault="00452E87" w:rsidP="007A2ACF">
      <w:pPr>
        <w:pStyle w:val="Textpoznmkypodiarou"/>
        <w:jc w:val="both"/>
        <w:rPr>
          <w:rFonts w:ascii="Times New Roman" w:hAnsi="Times New Roman" w:cs="Times New Roman"/>
          <w:sz w:val="20"/>
          <w:szCs w:val="20"/>
        </w:rPr>
      </w:pPr>
      <w:r>
        <w:rPr>
          <w:rStyle w:val="Odkaznapoznmkupodiarou"/>
        </w:rPr>
        <w:footnoteRef/>
      </w:r>
      <w:r>
        <w:t xml:space="preserve"> </w:t>
      </w:r>
      <w:hyperlink r:id="rId1" w:history="1">
        <w:r w:rsidRPr="007A2ACF">
          <w:rPr>
            <w:rStyle w:val="Hypertextovprepojenie"/>
            <w:rFonts w:ascii="Times New Roman" w:hAnsi="Times New Roman" w:cs="Times New Roman"/>
            <w:sz w:val="20"/>
            <w:szCs w:val="20"/>
          </w:rPr>
          <w:t>https://anti-fraud.ec.europa.eu/olaf-and-you/report-fraud_sk</w:t>
        </w:r>
      </w:hyperlink>
      <w:r w:rsidRPr="007A2ACF">
        <w:rPr>
          <w:rFonts w:ascii="Times New Roman" w:hAnsi="Times New Roman" w:cs="Times New Roman"/>
          <w:sz w:val="20"/>
          <w:szCs w:val="20"/>
        </w:rPr>
        <w:t xml:space="preserve"> </w:t>
      </w:r>
    </w:p>
  </w:footnote>
  <w:footnote w:id="5">
    <w:p w14:paraId="588D1206" w14:textId="7FC60E36" w:rsidR="00452E87" w:rsidRDefault="00452E87">
      <w:pPr>
        <w:pStyle w:val="Textpoznmkypodiarou"/>
        <w:rPr>
          <w:rFonts w:ascii="Times New Roman" w:hAnsi="Times New Roman" w:cs="Times New Roman"/>
          <w:sz w:val="20"/>
          <w:szCs w:val="20"/>
        </w:rPr>
      </w:pPr>
      <w:r>
        <w:rPr>
          <w:rStyle w:val="Odkaznapoznmkupodiarou"/>
        </w:rPr>
        <w:footnoteRef/>
      </w:r>
      <w:r>
        <w:t xml:space="preserve"> </w:t>
      </w:r>
      <w:hyperlink r:id="rId2" w:history="1">
        <w:r w:rsidRPr="007C7F78">
          <w:rPr>
            <w:rStyle w:val="Hypertextovprepojenie"/>
            <w:rFonts w:ascii="Times New Roman" w:hAnsi="Times New Roman" w:cs="Times New Roman"/>
            <w:sz w:val="20"/>
            <w:szCs w:val="20"/>
          </w:rPr>
          <w:t>https://www.olaf.vlada.gov.sk/zakladne-definicie-a-pojmy/?csrt=5839612821611534922</w:t>
        </w:r>
      </w:hyperlink>
      <w:r>
        <w:rPr>
          <w:rFonts w:ascii="Times New Roman" w:hAnsi="Times New Roman" w:cs="Times New Roman"/>
          <w:sz w:val="20"/>
          <w:szCs w:val="20"/>
        </w:rPr>
        <w:t xml:space="preserve"> </w:t>
      </w:r>
    </w:p>
    <w:p w14:paraId="0F519F8E" w14:textId="5A3EB0C9" w:rsidR="00452E87" w:rsidRDefault="00452E87" w:rsidP="00DC1951">
      <w:pPr>
        <w:pStyle w:val="Textpoznmkypodiarou"/>
        <w:jc w:val="both"/>
        <w:rPr>
          <w:rFonts w:ascii="Times New Roman" w:hAnsi="Times New Roman" w:cs="Times New Roman"/>
          <w:sz w:val="20"/>
          <w:szCs w:val="20"/>
        </w:rPr>
      </w:pPr>
      <w:r>
        <w:rPr>
          <w:rFonts w:ascii="Times New Roman" w:hAnsi="Times New Roman" w:cs="Times New Roman"/>
          <w:sz w:val="20"/>
          <w:szCs w:val="20"/>
        </w:rPr>
        <w:t xml:space="preserve">Čl. 3 ods. 2 </w:t>
      </w:r>
      <w:r w:rsidRPr="00DC1951">
        <w:rPr>
          <w:rFonts w:ascii="Times New Roman" w:hAnsi="Times New Roman" w:cs="Times New Roman"/>
          <w:sz w:val="20"/>
          <w:szCs w:val="20"/>
        </w:rPr>
        <w:t>Smernic</w:t>
      </w:r>
      <w:r>
        <w:rPr>
          <w:rFonts w:ascii="Times New Roman" w:hAnsi="Times New Roman" w:cs="Times New Roman"/>
          <w:sz w:val="20"/>
          <w:szCs w:val="20"/>
        </w:rPr>
        <w:t>e</w:t>
      </w:r>
      <w:r w:rsidRPr="00DC1951">
        <w:rPr>
          <w:rFonts w:ascii="Times New Roman" w:hAnsi="Times New Roman" w:cs="Times New Roman"/>
          <w:sz w:val="20"/>
          <w:szCs w:val="20"/>
        </w:rPr>
        <w:t xml:space="preserve"> Európskeho parlamentu a Rady (EÚ) 2017/1371 z 5. júla 2017 o boji proti podvodom, ktoré poškodzujú finančné záujmy Únie, prostredníctvom trestného práva</w:t>
      </w:r>
    </w:p>
    <w:p w14:paraId="500948B5" w14:textId="4410ABC5" w:rsidR="00452E87" w:rsidRPr="008A5A70" w:rsidRDefault="009B50C8" w:rsidP="00DC1951">
      <w:pPr>
        <w:pStyle w:val="Textpoznmkypodiarou"/>
        <w:jc w:val="both"/>
        <w:rPr>
          <w:rFonts w:ascii="Times New Roman" w:hAnsi="Times New Roman" w:cs="Times New Roman"/>
          <w:sz w:val="20"/>
          <w:szCs w:val="20"/>
        </w:rPr>
      </w:pPr>
      <w:hyperlink r:id="rId3" w:history="1">
        <w:r w:rsidR="00452E87" w:rsidRPr="008A5A70">
          <w:rPr>
            <w:rStyle w:val="Hypertextovprepojenie"/>
            <w:rFonts w:ascii="Times New Roman" w:hAnsi="Times New Roman" w:cs="Times New Roman"/>
            <w:sz w:val="20"/>
            <w:szCs w:val="20"/>
          </w:rPr>
          <w:t>https://eur-lex.europa.eu/legal-content/SK/TXT/PDF/?uri=CELEX:32017L1371</w:t>
        </w:r>
      </w:hyperlink>
      <w:r w:rsidR="00452E87" w:rsidRPr="008A5A70">
        <w:rPr>
          <w:rFonts w:ascii="Times New Roman" w:hAnsi="Times New Roman" w:cs="Times New Roman"/>
          <w:sz w:val="20"/>
          <w:szCs w:val="20"/>
        </w:rPr>
        <w:t xml:space="preserve"> </w:t>
      </w:r>
    </w:p>
  </w:footnote>
  <w:footnote w:id="6">
    <w:p w14:paraId="21A332C4" w14:textId="74E45EAE" w:rsidR="00452E87" w:rsidRDefault="00452E87">
      <w:pPr>
        <w:pStyle w:val="Textpoznmkypodiarou"/>
      </w:pPr>
      <w:r>
        <w:rPr>
          <w:rStyle w:val="Odkaznapoznmkupodiarou"/>
        </w:rPr>
        <w:footnoteRef/>
      </w:r>
      <w:r>
        <w:t xml:space="preserve"> </w:t>
      </w:r>
      <w:hyperlink r:id="rId4" w:history="1">
        <w:r w:rsidRPr="00450DEB">
          <w:rPr>
            <w:rStyle w:val="Hypertextovprepojenie"/>
            <w:rFonts w:ascii="Times New Roman" w:hAnsi="Times New Roman" w:cs="Times New Roman"/>
            <w:sz w:val="20"/>
            <w:szCs w:val="20"/>
          </w:rPr>
          <w:t>https://ec.europa.eu/regional_policy/sources/guidance/guidance_fraud_risk_assessment_sk.pdf</w:t>
        </w:r>
      </w:hyperlink>
      <w:r>
        <w:t xml:space="preserve"> </w:t>
      </w:r>
    </w:p>
  </w:footnote>
  <w:footnote w:id="7">
    <w:p w14:paraId="282EAAB4" w14:textId="2A1D57BA" w:rsidR="00452E87" w:rsidRDefault="00452E87">
      <w:pPr>
        <w:pStyle w:val="Textpoznmkypodiarou"/>
      </w:pPr>
      <w:r>
        <w:rPr>
          <w:rStyle w:val="Odkaznapoznmkupodiarou"/>
        </w:rPr>
        <w:footnoteRef/>
      </w:r>
      <w:r>
        <w:t xml:space="preserve"> </w:t>
      </w:r>
      <w:hyperlink r:id="rId5" w:history="1">
        <w:r w:rsidRPr="00450DEB">
          <w:rPr>
            <w:rStyle w:val="Hypertextovprepojenie"/>
            <w:rFonts w:ascii="Times New Roman" w:hAnsi="Times New Roman" w:cs="Times New Roman"/>
            <w:sz w:val="20"/>
            <w:szCs w:val="20"/>
          </w:rPr>
          <w:t>https://eur-lex.europa.eu/legal-content/SK/TXT/PDF/?uri=CELEX:41995A1127(03)</w:t>
        </w:r>
      </w:hyperlink>
      <w:r>
        <w:t xml:space="preserve"> </w:t>
      </w:r>
    </w:p>
  </w:footnote>
  <w:footnote w:id="8">
    <w:p w14:paraId="26F10B6B" w14:textId="5D6CE5BB" w:rsidR="00452E87" w:rsidRDefault="00452E87" w:rsidP="00450DEB">
      <w:pPr>
        <w:pStyle w:val="Textpoznmkypodiarou"/>
        <w:jc w:val="both"/>
      </w:pPr>
      <w:r>
        <w:rPr>
          <w:rStyle w:val="Odkaznapoznmkupodiarou"/>
        </w:rPr>
        <w:footnoteRef/>
      </w:r>
      <w:r>
        <w:t xml:space="preserve"> </w:t>
      </w:r>
      <w:r w:rsidRPr="00450DEB">
        <w:rPr>
          <w:rFonts w:ascii="Times New Roman" w:hAnsi="Times New Roman" w:cs="Times New Roman"/>
          <w:sz w:val="20"/>
          <w:szCs w:val="20"/>
        </w:rPr>
        <w:t>Nariadenie Európskeho parlamentu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Euratom) č.  966/2012 v platnom znení („Nariadenie o rozpočtových pravidlách“).</w:t>
      </w:r>
    </w:p>
  </w:footnote>
  <w:footnote w:id="9">
    <w:p w14:paraId="26FAF10F" w14:textId="60E210A3" w:rsidR="00452E87" w:rsidRDefault="00452E87">
      <w:pPr>
        <w:pStyle w:val="Textpoznmkypodiarou"/>
      </w:pPr>
      <w:r>
        <w:rPr>
          <w:rStyle w:val="Odkaznapoznmkupodiarou"/>
        </w:rPr>
        <w:footnoteRef/>
      </w:r>
      <w:r>
        <w:t xml:space="preserve"> </w:t>
      </w:r>
      <w:r w:rsidRPr="00450DEB">
        <w:rPr>
          <w:rFonts w:ascii="Times New Roman" w:hAnsi="Times New Roman" w:cs="Times New Roman"/>
          <w:sz w:val="20"/>
          <w:szCs w:val="20"/>
        </w:rPr>
        <w:t>Usmernenie EK COCOF 09/0003/00-SK zo dňa 18.02.2009.</w:t>
      </w:r>
    </w:p>
  </w:footnote>
  <w:footnote w:id="10">
    <w:p w14:paraId="3003EB1A" w14:textId="1A2E4212" w:rsidR="00452E87" w:rsidRPr="00450DEB" w:rsidRDefault="00452E87">
      <w:pPr>
        <w:pStyle w:val="Textpoznmkypodiarou"/>
        <w:rPr>
          <w:rFonts w:ascii="Times New Roman" w:hAnsi="Times New Roman" w:cs="Times New Roman"/>
          <w:sz w:val="20"/>
          <w:szCs w:val="20"/>
        </w:rPr>
      </w:pPr>
      <w:r>
        <w:rPr>
          <w:rStyle w:val="Odkaznapoznmkupodiarou"/>
        </w:rPr>
        <w:footnoteRef/>
      </w:r>
      <w:r>
        <w:t xml:space="preserve"> </w:t>
      </w:r>
      <w:r w:rsidRPr="00450DEB">
        <w:rPr>
          <w:rFonts w:ascii="Times New Roman" w:hAnsi="Times New Roman" w:cs="Times New Roman"/>
          <w:sz w:val="20"/>
          <w:szCs w:val="20"/>
        </w:rPr>
        <w:t>§ 24 ods. 5 zákona č. 575/2001 Z. z. o organizácii činnosti vlády a organizácii ústrednej štátnej správy v znení neskorších predpisov.</w:t>
      </w:r>
    </w:p>
  </w:footnote>
  <w:footnote w:id="11">
    <w:p w14:paraId="7C67F1D9" w14:textId="65B030B6" w:rsidR="00452E87" w:rsidRPr="00450DEB" w:rsidRDefault="00452E87" w:rsidP="00450DEB">
      <w:pPr>
        <w:pStyle w:val="Textpoznmkypodiarou"/>
        <w:jc w:val="both"/>
        <w:rPr>
          <w:rFonts w:ascii="Times New Roman" w:hAnsi="Times New Roman" w:cs="Times New Roman"/>
          <w:sz w:val="20"/>
          <w:szCs w:val="20"/>
        </w:rPr>
      </w:pPr>
      <w:r>
        <w:rPr>
          <w:rStyle w:val="Odkaznapoznmkupodiarou"/>
        </w:rPr>
        <w:footnoteRef/>
      </w:r>
      <w:r>
        <w:t xml:space="preserve"> </w:t>
      </w:r>
      <w:r w:rsidRPr="00450DEB">
        <w:rPr>
          <w:rFonts w:ascii="Times New Roman" w:hAnsi="Times New Roman" w:cs="Times New Roman"/>
          <w:sz w:val="20"/>
          <w:szCs w:val="20"/>
        </w:rPr>
        <w:t>Čl. 12a nariadenia Európskeho parlamentu a Rady (EÚ, Euratom) č. 883/2013 z 11. septembra 2013 o vyšetrovaniach vykonávaných Európskym úradom pre boj proti podvodom (OLAF), ktorým sa zrušuje nariadenie Európskeho parlamentu a Rady (ES) č. 1073/1999 a nariadenie Rady (Euratom) č. 1074/1999 (Ú. v. EÚ L 248, 18. 9. 2013) v platnom znení.</w:t>
      </w:r>
    </w:p>
  </w:footnote>
  <w:footnote w:id="12">
    <w:p w14:paraId="1F36A3B6" w14:textId="47407055" w:rsidR="00452E87" w:rsidRDefault="00452E87">
      <w:pPr>
        <w:pStyle w:val="Textpoznmkypodiarou"/>
      </w:pPr>
      <w:r>
        <w:rPr>
          <w:rStyle w:val="Odkaznapoznmkupodiarou"/>
        </w:rPr>
        <w:footnoteRef/>
      </w:r>
      <w:r>
        <w:t xml:space="preserve"> </w:t>
      </w:r>
      <w:r w:rsidRPr="00450DEB">
        <w:rPr>
          <w:rFonts w:ascii="Times New Roman" w:hAnsi="Times New Roman" w:cs="Times New Roman"/>
          <w:sz w:val="20"/>
          <w:szCs w:val="20"/>
        </w:rPr>
        <w:t>Nariadenie (EÚ, Euratom) č. 883/2013 v platnom znení.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FA57D" w14:textId="611A03A7" w:rsidR="00452E87" w:rsidRPr="003E39B0" w:rsidRDefault="00452E87" w:rsidP="003E39B0">
    <w:pPr>
      <w:tabs>
        <w:tab w:val="center" w:pos="4536"/>
        <w:tab w:val="right" w:pos="9072"/>
      </w:tabs>
      <w:rPr>
        <w:rFonts w:ascii="Times New Roman" w:hAnsi="Times New Roman"/>
        <w:noProof/>
        <w:sz w:val="24"/>
        <w:lang w:val="x-none" w:eastAsia="x-none"/>
      </w:rPr>
    </w:pPr>
    <w:r>
      <w:rPr>
        <w:noProof/>
      </w:rPr>
      <w:drawing>
        <wp:inline distT="0" distB="0" distL="0" distR="0" wp14:anchorId="3E0B16C1" wp14:editId="4A74B1F8">
          <wp:extent cx="5732060" cy="495472"/>
          <wp:effectExtent l="0" t="0" r="254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1703" cy="602625"/>
                  </a:xfrm>
                  <a:prstGeom prst="rect">
                    <a:avLst/>
                  </a:prstGeom>
                  <a:noFill/>
                  <a:ln>
                    <a:noFill/>
                  </a:ln>
                </pic:spPr>
              </pic:pic>
            </a:graphicData>
          </a:graphic>
        </wp:inline>
      </w:drawing>
    </w:r>
  </w:p>
  <w:p w14:paraId="2765597F" w14:textId="77777777" w:rsidR="00452E87" w:rsidRDefault="00452E8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32FB8"/>
    <w:multiLevelType w:val="multilevel"/>
    <w:tmpl w:val="AFA86DF6"/>
    <w:lvl w:ilvl="0">
      <w:start w:val="1"/>
      <w:numFmt w:val="decimal"/>
      <w:lvlText w:val="%1."/>
      <w:lvlJc w:val="left"/>
      <w:pPr>
        <w:ind w:left="502" w:hanging="360"/>
      </w:pPr>
      <w:rPr>
        <w:rFonts w:hint="default"/>
      </w:rPr>
    </w:lvl>
    <w:lvl w:ilvl="1">
      <w:start w:val="1"/>
      <w:numFmt w:val="decimal"/>
      <w:pStyle w:val="tl3"/>
      <w:lvlText w:val="%2."/>
      <w:lvlJc w:val="left"/>
      <w:pPr>
        <w:ind w:left="720" w:hanging="360"/>
      </w:pPr>
      <w:rPr>
        <w:rFonts w:hint="default"/>
        <w:b/>
        <w:color w:val="0070C0"/>
      </w:rPr>
    </w:lvl>
    <w:lvl w:ilvl="2">
      <w:start w:val="1"/>
      <w:numFmt w:val="decimal"/>
      <w:isLgl/>
      <w:lvlText w:val="%1.%2.%3"/>
      <w:lvlJc w:val="left"/>
      <w:pPr>
        <w:ind w:left="1288" w:hanging="720"/>
      </w:pPr>
      <w:rPr>
        <w:rFonts w:hint="default"/>
        <w:b w:val="0"/>
        <w:color w:val="auto"/>
        <w:sz w:val="24"/>
        <w:szCs w:val="24"/>
        <w:vertAlign w:val="baseli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8F17F86"/>
    <w:multiLevelType w:val="hybridMultilevel"/>
    <w:tmpl w:val="9BA6CBF4"/>
    <w:lvl w:ilvl="0" w:tplc="D8561E86">
      <w:start w:val="1"/>
      <w:numFmt w:val="bullet"/>
      <w:lvlText w:val=""/>
      <w:lvlJc w:val="left"/>
      <w:pPr>
        <w:ind w:left="720" w:hanging="360"/>
      </w:pPr>
      <w:rPr>
        <w:rFonts w:ascii="Symbol" w:hAnsi="Symbol" w:hint="default"/>
      </w:rPr>
    </w:lvl>
    <w:lvl w:ilvl="1" w:tplc="8CFAF6F2">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1BAD6EF9"/>
    <w:multiLevelType w:val="hybridMultilevel"/>
    <w:tmpl w:val="3E3627B6"/>
    <w:lvl w:ilvl="0" w:tplc="041B0001">
      <w:start w:val="1"/>
      <w:numFmt w:val="decimal"/>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 w15:restartNumberingAfterBreak="0">
    <w:nsid w:val="1F1F22CD"/>
    <w:multiLevelType w:val="hybridMultilevel"/>
    <w:tmpl w:val="CD9EB40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F901E06"/>
    <w:multiLevelType w:val="hybridMultilevel"/>
    <w:tmpl w:val="7B9A30C4"/>
    <w:lvl w:ilvl="0" w:tplc="BDDEA43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9C3F41"/>
    <w:multiLevelType w:val="hybridMultilevel"/>
    <w:tmpl w:val="4262F7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6E436E5"/>
    <w:multiLevelType w:val="singleLevel"/>
    <w:tmpl w:val="32DC9380"/>
    <w:lvl w:ilvl="0">
      <w:start w:val="2"/>
      <w:numFmt w:val="decimal"/>
      <w:lvlText w:val="%1.1"/>
      <w:lvlJc w:val="left"/>
      <w:pPr>
        <w:ind w:left="720" w:hanging="360"/>
      </w:pPr>
      <w:rPr>
        <w:rFonts w:hint="default"/>
        <w:b/>
        <w:color w:val="auto"/>
        <w:sz w:val="24"/>
        <w:szCs w:val="24"/>
        <w:vertAlign w:val="baseline"/>
      </w:rPr>
    </w:lvl>
  </w:abstractNum>
  <w:abstractNum w:abstractNumId="7" w15:restartNumberingAfterBreak="0">
    <w:nsid w:val="2B050881"/>
    <w:multiLevelType w:val="hybridMultilevel"/>
    <w:tmpl w:val="B2B4386C"/>
    <w:lvl w:ilvl="0" w:tplc="00F63B7A">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2B9E02E2"/>
    <w:multiLevelType w:val="hybridMultilevel"/>
    <w:tmpl w:val="B3843B96"/>
    <w:lvl w:ilvl="0" w:tplc="3BF22D42">
      <w:start w:val="1"/>
      <w:numFmt w:val="upperLetter"/>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2424A1F"/>
    <w:multiLevelType w:val="hybridMultilevel"/>
    <w:tmpl w:val="BB006D6A"/>
    <w:lvl w:ilvl="0" w:tplc="041B0015">
      <w:start w:val="1"/>
      <w:numFmt w:val="bullet"/>
      <w:lvlText w:val=""/>
      <w:lvlJc w:val="left"/>
      <w:pPr>
        <w:ind w:left="720"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cs="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cs="Courier New" w:hint="default"/>
      </w:rPr>
    </w:lvl>
    <w:lvl w:ilvl="8" w:tplc="041B001B">
      <w:start w:val="1"/>
      <w:numFmt w:val="bullet"/>
      <w:lvlText w:val=""/>
      <w:lvlJc w:val="left"/>
      <w:pPr>
        <w:ind w:left="6480" w:hanging="360"/>
      </w:pPr>
      <w:rPr>
        <w:rFonts w:ascii="Wingdings" w:hAnsi="Wingdings" w:hint="default"/>
      </w:rPr>
    </w:lvl>
  </w:abstractNum>
  <w:abstractNum w:abstractNumId="10" w15:restartNumberingAfterBreak="0">
    <w:nsid w:val="33CC5846"/>
    <w:multiLevelType w:val="hybridMultilevel"/>
    <w:tmpl w:val="92A658D2"/>
    <w:lvl w:ilvl="0" w:tplc="041B0001">
      <w:start w:val="1"/>
      <w:numFmt w:val="upperLetter"/>
      <w:lvlText w:val="%1.)"/>
      <w:lvlJc w:val="left"/>
      <w:pPr>
        <w:ind w:left="720" w:hanging="360"/>
      </w:pPr>
    </w:lvl>
    <w:lvl w:ilvl="1" w:tplc="041B0003">
      <w:start w:val="1"/>
      <w:numFmt w:val="lowerLetter"/>
      <w:lvlText w:val="%2."/>
      <w:lvlJc w:val="left"/>
      <w:pPr>
        <w:ind w:left="1440" w:hanging="360"/>
      </w:pPr>
    </w:lvl>
    <w:lvl w:ilvl="2" w:tplc="041B0005">
      <w:start w:val="1"/>
      <w:numFmt w:val="lowerRoman"/>
      <w:lvlText w:val="%3."/>
      <w:lvlJc w:val="right"/>
      <w:pPr>
        <w:ind w:left="2160" w:hanging="180"/>
      </w:pPr>
    </w:lvl>
    <w:lvl w:ilvl="3" w:tplc="041B0001">
      <w:start w:val="1"/>
      <w:numFmt w:val="decimal"/>
      <w:lvlText w:val="%4."/>
      <w:lvlJc w:val="left"/>
      <w:pPr>
        <w:ind w:left="2880" w:hanging="360"/>
      </w:pPr>
    </w:lvl>
    <w:lvl w:ilvl="4" w:tplc="041B0003">
      <w:start w:val="1"/>
      <w:numFmt w:val="lowerLetter"/>
      <w:lvlText w:val="%5."/>
      <w:lvlJc w:val="left"/>
      <w:pPr>
        <w:ind w:left="3600" w:hanging="360"/>
      </w:pPr>
    </w:lvl>
    <w:lvl w:ilvl="5" w:tplc="041B0005">
      <w:start w:val="1"/>
      <w:numFmt w:val="lowerRoman"/>
      <w:lvlText w:val="%6."/>
      <w:lvlJc w:val="right"/>
      <w:pPr>
        <w:ind w:left="4320" w:hanging="180"/>
      </w:pPr>
    </w:lvl>
    <w:lvl w:ilvl="6" w:tplc="041B0001">
      <w:start w:val="1"/>
      <w:numFmt w:val="decimal"/>
      <w:lvlText w:val="%7."/>
      <w:lvlJc w:val="left"/>
      <w:pPr>
        <w:ind w:left="5040" w:hanging="360"/>
      </w:pPr>
    </w:lvl>
    <w:lvl w:ilvl="7" w:tplc="041B0003">
      <w:start w:val="1"/>
      <w:numFmt w:val="lowerLetter"/>
      <w:lvlText w:val="%8."/>
      <w:lvlJc w:val="left"/>
      <w:pPr>
        <w:ind w:left="5760" w:hanging="360"/>
      </w:pPr>
    </w:lvl>
    <w:lvl w:ilvl="8" w:tplc="041B0005">
      <w:start w:val="1"/>
      <w:numFmt w:val="lowerRoman"/>
      <w:lvlText w:val="%9."/>
      <w:lvlJc w:val="right"/>
      <w:pPr>
        <w:ind w:left="6480" w:hanging="180"/>
      </w:pPr>
    </w:lvl>
  </w:abstractNum>
  <w:abstractNum w:abstractNumId="11" w15:restartNumberingAfterBreak="0">
    <w:nsid w:val="34542635"/>
    <w:multiLevelType w:val="hybridMultilevel"/>
    <w:tmpl w:val="B146441C"/>
    <w:lvl w:ilvl="0" w:tplc="3B2EE490">
      <w:start w:val="1"/>
      <w:numFmt w:val="upperLetter"/>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ACD0610"/>
    <w:multiLevelType w:val="multilevel"/>
    <w:tmpl w:val="88F48536"/>
    <w:styleLink w:val="tl1"/>
    <w:lvl w:ilvl="0">
      <w:start w:val="2"/>
      <w:numFmt w:val="decimal"/>
      <w:lvlText w:val="%1."/>
      <w:lvlJc w:val="left"/>
      <w:pPr>
        <w:ind w:left="502" w:hanging="360"/>
      </w:pPr>
    </w:lvl>
    <w:lvl w:ilvl="1">
      <w:start w:val="2"/>
      <w:numFmt w:val="decimal"/>
      <w:lvlText w:val="%2."/>
      <w:lvlJc w:val="left"/>
      <w:pPr>
        <w:ind w:left="720" w:hanging="360"/>
      </w:pPr>
      <w:rPr>
        <w:rFonts w:ascii="Times New Roman" w:hAnsi="Times New Roman" w:hint="default"/>
        <w:b/>
        <w:color w:val="auto"/>
        <w:sz w:val="24"/>
      </w:rPr>
    </w:lvl>
    <w:lvl w:ilvl="2">
      <w:start w:val="1"/>
      <w:numFmt w:val="decimal"/>
      <w:isLgl/>
      <w:lvlText w:val="%1.%2.%3"/>
      <w:lvlJc w:val="left"/>
      <w:pPr>
        <w:ind w:left="1288" w:hanging="720"/>
      </w:pPr>
      <w:rPr>
        <w:b w:val="0"/>
        <w:color w:val="auto"/>
        <w:sz w:val="24"/>
        <w:szCs w:val="24"/>
        <w:vertAlign w:val="baseline"/>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15:restartNumberingAfterBreak="0">
    <w:nsid w:val="3ADC4A66"/>
    <w:multiLevelType w:val="hybridMultilevel"/>
    <w:tmpl w:val="B2B4386C"/>
    <w:lvl w:ilvl="0" w:tplc="2320CCEC">
      <w:start w:val="1"/>
      <w:numFmt w:val="decimal"/>
      <w:lvlText w:val="%1.)"/>
      <w:lvlJc w:val="left"/>
      <w:pPr>
        <w:ind w:left="720" w:hanging="360"/>
      </w:pPr>
    </w:lvl>
    <w:lvl w:ilvl="1" w:tplc="FEFA837E">
      <w:start w:val="1"/>
      <w:numFmt w:val="lowerLetter"/>
      <w:lvlText w:val="%2."/>
      <w:lvlJc w:val="left"/>
      <w:pPr>
        <w:ind w:left="1440" w:hanging="360"/>
      </w:pPr>
    </w:lvl>
    <w:lvl w:ilvl="2" w:tplc="1A847B70">
      <w:start w:val="1"/>
      <w:numFmt w:val="lowerRoman"/>
      <w:lvlText w:val="%3."/>
      <w:lvlJc w:val="right"/>
      <w:pPr>
        <w:ind w:left="2160" w:hanging="180"/>
      </w:pPr>
    </w:lvl>
    <w:lvl w:ilvl="3" w:tplc="DB4C9718">
      <w:start w:val="1"/>
      <w:numFmt w:val="decimal"/>
      <w:lvlText w:val="%4."/>
      <w:lvlJc w:val="left"/>
      <w:pPr>
        <w:ind w:left="2880" w:hanging="360"/>
      </w:pPr>
    </w:lvl>
    <w:lvl w:ilvl="4" w:tplc="F33AB450">
      <w:start w:val="1"/>
      <w:numFmt w:val="lowerLetter"/>
      <w:lvlText w:val="%5."/>
      <w:lvlJc w:val="left"/>
      <w:pPr>
        <w:ind w:left="3600" w:hanging="360"/>
      </w:pPr>
    </w:lvl>
    <w:lvl w:ilvl="5" w:tplc="153AB35C">
      <w:start w:val="1"/>
      <w:numFmt w:val="lowerRoman"/>
      <w:lvlText w:val="%6."/>
      <w:lvlJc w:val="right"/>
      <w:pPr>
        <w:ind w:left="4320" w:hanging="180"/>
      </w:pPr>
    </w:lvl>
    <w:lvl w:ilvl="6" w:tplc="51C461AA">
      <w:start w:val="1"/>
      <w:numFmt w:val="decimal"/>
      <w:lvlText w:val="%7."/>
      <w:lvlJc w:val="left"/>
      <w:pPr>
        <w:ind w:left="5040" w:hanging="360"/>
      </w:pPr>
    </w:lvl>
    <w:lvl w:ilvl="7" w:tplc="459A80D8">
      <w:start w:val="1"/>
      <w:numFmt w:val="lowerLetter"/>
      <w:lvlText w:val="%8."/>
      <w:lvlJc w:val="left"/>
      <w:pPr>
        <w:ind w:left="5760" w:hanging="360"/>
      </w:pPr>
    </w:lvl>
    <w:lvl w:ilvl="8" w:tplc="48DEFE7E">
      <w:start w:val="1"/>
      <w:numFmt w:val="lowerRoman"/>
      <w:lvlText w:val="%9."/>
      <w:lvlJc w:val="right"/>
      <w:pPr>
        <w:ind w:left="6480" w:hanging="180"/>
      </w:pPr>
    </w:lvl>
  </w:abstractNum>
  <w:abstractNum w:abstractNumId="14" w15:restartNumberingAfterBreak="0">
    <w:nsid w:val="3C221969"/>
    <w:multiLevelType w:val="hybridMultilevel"/>
    <w:tmpl w:val="1BC49E80"/>
    <w:lvl w:ilvl="0" w:tplc="3BF22D42">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3F752FA9"/>
    <w:multiLevelType w:val="hybridMultilevel"/>
    <w:tmpl w:val="1FB49DE8"/>
    <w:lvl w:ilvl="0" w:tplc="041B0015">
      <w:start w:val="1"/>
      <w:numFmt w:val="bullet"/>
      <w:lvlText w:val=""/>
      <w:lvlJc w:val="left"/>
      <w:pPr>
        <w:ind w:left="720"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cs="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cs="Courier New" w:hint="default"/>
      </w:rPr>
    </w:lvl>
    <w:lvl w:ilvl="8" w:tplc="041B001B">
      <w:start w:val="1"/>
      <w:numFmt w:val="bullet"/>
      <w:lvlText w:val=""/>
      <w:lvlJc w:val="left"/>
      <w:pPr>
        <w:ind w:left="6480" w:hanging="360"/>
      </w:pPr>
      <w:rPr>
        <w:rFonts w:ascii="Wingdings" w:hAnsi="Wingdings" w:hint="default"/>
      </w:rPr>
    </w:lvl>
  </w:abstractNum>
  <w:abstractNum w:abstractNumId="16" w15:restartNumberingAfterBreak="0">
    <w:nsid w:val="3F8C2186"/>
    <w:multiLevelType w:val="multilevel"/>
    <w:tmpl w:val="A0A0B9DE"/>
    <w:lvl w:ilvl="0">
      <w:start w:val="1"/>
      <w:numFmt w:val="bullet"/>
      <w:lvlText w:val=""/>
      <w:lvlJc w:val="left"/>
      <w:pPr>
        <w:ind w:left="360" w:hanging="360"/>
      </w:pPr>
      <w:rPr>
        <w:rFonts w:ascii="Symbol" w:hAnsi="Symbol" w:hint="default"/>
        <w:b/>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416176A0"/>
    <w:multiLevelType w:val="hybridMultilevel"/>
    <w:tmpl w:val="51D017F4"/>
    <w:lvl w:ilvl="0" w:tplc="3DEE2AF0">
      <w:start w:val="1"/>
      <w:numFmt w:val="upperLetter"/>
      <w:lvlText w:val="%1."/>
      <w:lvlJc w:val="left"/>
      <w:pPr>
        <w:ind w:left="720" w:hanging="360"/>
      </w:pPr>
    </w:lvl>
    <w:lvl w:ilvl="1" w:tplc="82EE6E7C">
      <w:start w:val="1"/>
      <w:numFmt w:val="lowerLetter"/>
      <w:lvlText w:val="%2."/>
      <w:lvlJc w:val="left"/>
      <w:pPr>
        <w:ind w:left="1440" w:hanging="360"/>
      </w:pPr>
    </w:lvl>
    <w:lvl w:ilvl="2" w:tplc="1372454C">
      <w:start w:val="1"/>
      <w:numFmt w:val="lowerRoman"/>
      <w:lvlText w:val="%3."/>
      <w:lvlJc w:val="right"/>
      <w:pPr>
        <w:ind w:left="2160" w:hanging="180"/>
      </w:pPr>
    </w:lvl>
    <w:lvl w:ilvl="3" w:tplc="E88283CA">
      <w:start w:val="1"/>
      <w:numFmt w:val="decimal"/>
      <w:lvlText w:val="%4."/>
      <w:lvlJc w:val="left"/>
      <w:pPr>
        <w:ind w:left="2880" w:hanging="360"/>
      </w:pPr>
    </w:lvl>
    <w:lvl w:ilvl="4" w:tplc="559E0A90">
      <w:start w:val="1"/>
      <w:numFmt w:val="lowerLetter"/>
      <w:lvlText w:val="%5."/>
      <w:lvlJc w:val="left"/>
      <w:pPr>
        <w:ind w:left="3600" w:hanging="360"/>
      </w:pPr>
    </w:lvl>
    <w:lvl w:ilvl="5" w:tplc="70F0231A">
      <w:start w:val="1"/>
      <w:numFmt w:val="lowerRoman"/>
      <w:lvlText w:val="%6."/>
      <w:lvlJc w:val="right"/>
      <w:pPr>
        <w:ind w:left="4320" w:hanging="180"/>
      </w:pPr>
    </w:lvl>
    <w:lvl w:ilvl="6" w:tplc="1ABE3D7A">
      <w:start w:val="1"/>
      <w:numFmt w:val="decimal"/>
      <w:lvlText w:val="%7."/>
      <w:lvlJc w:val="left"/>
      <w:pPr>
        <w:ind w:left="5040" w:hanging="360"/>
      </w:pPr>
    </w:lvl>
    <w:lvl w:ilvl="7" w:tplc="F8243C1E">
      <w:start w:val="1"/>
      <w:numFmt w:val="lowerLetter"/>
      <w:lvlText w:val="%8."/>
      <w:lvlJc w:val="left"/>
      <w:pPr>
        <w:ind w:left="5760" w:hanging="360"/>
      </w:pPr>
    </w:lvl>
    <w:lvl w:ilvl="8" w:tplc="97EA8032">
      <w:start w:val="1"/>
      <w:numFmt w:val="lowerRoman"/>
      <w:lvlText w:val="%9."/>
      <w:lvlJc w:val="right"/>
      <w:pPr>
        <w:ind w:left="6480" w:hanging="180"/>
      </w:pPr>
    </w:lvl>
  </w:abstractNum>
  <w:abstractNum w:abstractNumId="18" w15:restartNumberingAfterBreak="0">
    <w:nsid w:val="41FC12F3"/>
    <w:multiLevelType w:val="singleLevel"/>
    <w:tmpl w:val="32DC9380"/>
    <w:lvl w:ilvl="0">
      <w:start w:val="2"/>
      <w:numFmt w:val="decimal"/>
      <w:lvlText w:val="%1.1"/>
      <w:lvlJc w:val="left"/>
      <w:pPr>
        <w:ind w:left="720" w:hanging="360"/>
      </w:pPr>
      <w:rPr>
        <w:rFonts w:hint="default"/>
        <w:b/>
        <w:color w:val="auto"/>
        <w:sz w:val="24"/>
        <w:szCs w:val="24"/>
        <w:vertAlign w:val="baseline"/>
      </w:rPr>
    </w:lvl>
  </w:abstractNum>
  <w:abstractNum w:abstractNumId="19"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C187A80"/>
    <w:multiLevelType w:val="hybridMultilevel"/>
    <w:tmpl w:val="8496E8CA"/>
    <w:lvl w:ilvl="0" w:tplc="F50EE2E8">
      <w:start w:val="1"/>
      <w:numFmt w:val="bullet"/>
      <w:lvlText w:val="-"/>
      <w:lvlJc w:val="left"/>
      <w:pPr>
        <w:ind w:left="720" w:hanging="360"/>
      </w:pPr>
      <w:rPr>
        <w:rFonts w:ascii="Arial" w:eastAsia="Times New Roman" w:hAnsi="Arial" w:cs="Arial" w:hint="default"/>
      </w:rPr>
    </w:lvl>
    <w:lvl w:ilvl="1" w:tplc="66A40D12">
      <w:start w:val="1"/>
      <w:numFmt w:val="bullet"/>
      <w:lvlText w:val="o"/>
      <w:lvlJc w:val="left"/>
      <w:pPr>
        <w:ind w:left="1440" w:hanging="360"/>
      </w:pPr>
      <w:rPr>
        <w:rFonts w:ascii="Courier New" w:hAnsi="Courier New" w:cs="Courier New" w:hint="default"/>
      </w:rPr>
    </w:lvl>
    <w:lvl w:ilvl="2" w:tplc="C0E46A68">
      <w:start w:val="1"/>
      <w:numFmt w:val="bullet"/>
      <w:lvlText w:val=""/>
      <w:lvlJc w:val="left"/>
      <w:pPr>
        <w:ind w:left="2160" w:hanging="360"/>
      </w:pPr>
      <w:rPr>
        <w:rFonts w:ascii="Wingdings" w:hAnsi="Wingdings" w:hint="default"/>
      </w:rPr>
    </w:lvl>
    <w:lvl w:ilvl="3" w:tplc="A28C558C">
      <w:start w:val="1"/>
      <w:numFmt w:val="bullet"/>
      <w:lvlText w:val=""/>
      <w:lvlJc w:val="left"/>
      <w:pPr>
        <w:ind w:left="2880" w:hanging="360"/>
      </w:pPr>
      <w:rPr>
        <w:rFonts w:ascii="Symbol" w:hAnsi="Symbol" w:hint="default"/>
      </w:rPr>
    </w:lvl>
    <w:lvl w:ilvl="4" w:tplc="6DEC50A6">
      <w:start w:val="1"/>
      <w:numFmt w:val="bullet"/>
      <w:lvlText w:val="o"/>
      <w:lvlJc w:val="left"/>
      <w:pPr>
        <w:ind w:left="3600" w:hanging="360"/>
      </w:pPr>
      <w:rPr>
        <w:rFonts w:ascii="Courier New" w:hAnsi="Courier New" w:cs="Courier New" w:hint="default"/>
      </w:rPr>
    </w:lvl>
    <w:lvl w:ilvl="5" w:tplc="5F468C86">
      <w:start w:val="1"/>
      <w:numFmt w:val="bullet"/>
      <w:lvlText w:val=""/>
      <w:lvlJc w:val="left"/>
      <w:pPr>
        <w:ind w:left="4320" w:hanging="360"/>
      </w:pPr>
      <w:rPr>
        <w:rFonts w:ascii="Wingdings" w:hAnsi="Wingdings" w:hint="default"/>
      </w:rPr>
    </w:lvl>
    <w:lvl w:ilvl="6" w:tplc="9C6A32C8">
      <w:start w:val="1"/>
      <w:numFmt w:val="bullet"/>
      <w:lvlText w:val=""/>
      <w:lvlJc w:val="left"/>
      <w:pPr>
        <w:ind w:left="5040" w:hanging="360"/>
      </w:pPr>
      <w:rPr>
        <w:rFonts w:ascii="Symbol" w:hAnsi="Symbol" w:hint="default"/>
      </w:rPr>
    </w:lvl>
    <w:lvl w:ilvl="7" w:tplc="A17A5AA0">
      <w:start w:val="1"/>
      <w:numFmt w:val="bullet"/>
      <w:lvlText w:val="o"/>
      <w:lvlJc w:val="left"/>
      <w:pPr>
        <w:ind w:left="5760" w:hanging="360"/>
      </w:pPr>
      <w:rPr>
        <w:rFonts w:ascii="Courier New" w:hAnsi="Courier New" w:cs="Courier New" w:hint="default"/>
      </w:rPr>
    </w:lvl>
    <w:lvl w:ilvl="8" w:tplc="1E34FCD4">
      <w:start w:val="1"/>
      <w:numFmt w:val="bullet"/>
      <w:lvlText w:val=""/>
      <w:lvlJc w:val="left"/>
      <w:pPr>
        <w:ind w:left="6480" w:hanging="360"/>
      </w:pPr>
      <w:rPr>
        <w:rFonts w:ascii="Wingdings" w:hAnsi="Wingdings" w:hint="default"/>
      </w:rPr>
    </w:lvl>
  </w:abstractNum>
  <w:abstractNum w:abstractNumId="21" w15:restartNumberingAfterBreak="0">
    <w:nsid w:val="56E71305"/>
    <w:multiLevelType w:val="hybridMultilevel"/>
    <w:tmpl w:val="BF129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9FF4245"/>
    <w:multiLevelType w:val="hybridMultilevel"/>
    <w:tmpl w:val="00FCFEE0"/>
    <w:lvl w:ilvl="0" w:tplc="2320CCE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6C0285F"/>
    <w:multiLevelType w:val="hybridMultilevel"/>
    <w:tmpl w:val="FB36047C"/>
    <w:lvl w:ilvl="0" w:tplc="5E3223F8">
      <w:start w:val="3"/>
      <w:numFmt w:val="bullet"/>
      <w:lvlText w:val="-"/>
      <w:lvlJc w:val="left"/>
      <w:pPr>
        <w:ind w:left="720" w:hanging="360"/>
      </w:pPr>
      <w:rPr>
        <w:rFonts w:ascii="Calibri" w:eastAsiaTheme="minorHAnsi" w:hAnsi="Calibri" w:cstheme="minorBidi" w:hint="default"/>
      </w:rPr>
    </w:lvl>
    <w:lvl w:ilvl="1" w:tplc="041B0003">
      <w:start w:val="1"/>
      <w:numFmt w:val="lowerLetter"/>
      <w:lvlText w:val="%2."/>
      <w:lvlJc w:val="left"/>
      <w:pPr>
        <w:ind w:left="1440" w:hanging="360"/>
      </w:pPr>
    </w:lvl>
    <w:lvl w:ilvl="2" w:tplc="041B0005">
      <w:start w:val="1"/>
      <w:numFmt w:val="lowerRoman"/>
      <w:lvlText w:val="%3."/>
      <w:lvlJc w:val="right"/>
      <w:pPr>
        <w:ind w:left="2160" w:hanging="180"/>
      </w:pPr>
    </w:lvl>
    <w:lvl w:ilvl="3" w:tplc="041B0001">
      <w:start w:val="1"/>
      <w:numFmt w:val="decimal"/>
      <w:lvlText w:val="%4."/>
      <w:lvlJc w:val="left"/>
      <w:pPr>
        <w:ind w:left="2880" w:hanging="360"/>
      </w:pPr>
    </w:lvl>
    <w:lvl w:ilvl="4" w:tplc="041B0003">
      <w:start w:val="1"/>
      <w:numFmt w:val="lowerLetter"/>
      <w:lvlText w:val="%5."/>
      <w:lvlJc w:val="left"/>
      <w:pPr>
        <w:ind w:left="3600" w:hanging="360"/>
      </w:pPr>
    </w:lvl>
    <w:lvl w:ilvl="5" w:tplc="041B0005">
      <w:start w:val="1"/>
      <w:numFmt w:val="lowerRoman"/>
      <w:lvlText w:val="%6."/>
      <w:lvlJc w:val="right"/>
      <w:pPr>
        <w:ind w:left="4320" w:hanging="180"/>
      </w:pPr>
    </w:lvl>
    <w:lvl w:ilvl="6" w:tplc="041B0001">
      <w:start w:val="1"/>
      <w:numFmt w:val="decimal"/>
      <w:lvlText w:val="%7."/>
      <w:lvlJc w:val="left"/>
      <w:pPr>
        <w:ind w:left="5040" w:hanging="360"/>
      </w:pPr>
    </w:lvl>
    <w:lvl w:ilvl="7" w:tplc="041B0003">
      <w:start w:val="1"/>
      <w:numFmt w:val="lowerLetter"/>
      <w:lvlText w:val="%8."/>
      <w:lvlJc w:val="left"/>
      <w:pPr>
        <w:ind w:left="5760" w:hanging="360"/>
      </w:pPr>
    </w:lvl>
    <w:lvl w:ilvl="8" w:tplc="041B0005">
      <w:start w:val="1"/>
      <w:numFmt w:val="lowerRoman"/>
      <w:lvlText w:val="%9."/>
      <w:lvlJc w:val="right"/>
      <w:pPr>
        <w:ind w:left="6480" w:hanging="180"/>
      </w:pPr>
    </w:lvl>
  </w:abstractNum>
  <w:abstractNum w:abstractNumId="24" w15:restartNumberingAfterBreak="0">
    <w:nsid w:val="6CA66D91"/>
    <w:multiLevelType w:val="hybridMultilevel"/>
    <w:tmpl w:val="2932D658"/>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6CF11D8A"/>
    <w:multiLevelType w:val="multilevel"/>
    <w:tmpl w:val="40601712"/>
    <w:lvl w:ilvl="0">
      <w:start w:val="1"/>
      <w:numFmt w:val="decimal"/>
      <w:pStyle w:val="tl2"/>
      <w:lvlText w:val="%1."/>
      <w:lvlJc w:val="left"/>
      <w:pPr>
        <w:ind w:left="360" w:hanging="360"/>
      </w:pPr>
    </w:lvl>
    <w:lvl w:ilvl="1">
      <w:start w:val="1"/>
      <w:numFmt w:val="decimal"/>
      <w:isLgl/>
      <w:lvlText w:val="%1.%2"/>
      <w:lvlJc w:val="left"/>
      <w:pPr>
        <w:ind w:left="585" w:hanging="58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D4137C9"/>
    <w:multiLevelType w:val="hybridMultilevel"/>
    <w:tmpl w:val="92A658D2"/>
    <w:lvl w:ilvl="0" w:tplc="9F226BC2">
      <w:start w:val="1"/>
      <w:numFmt w:val="upperLetter"/>
      <w:lvlText w:val="%1.)"/>
      <w:lvlJc w:val="left"/>
      <w:pPr>
        <w:ind w:left="720" w:hanging="360"/>
      </w:pPr>
    </w:lvl>
    <w:lvl w:ilvl="1" w:tplc="52AC08D6">
      <w:start w:val="1"/>
      <w:numFmt w:val="lowerLetter"/>
      <w:lvlText w:val="%2."/>
      <w:lvlJc w:val="left"/>
      <w:pPr>
        <w:ind w:left="1440" w:hanging="360"/>
      </w:pPr>
    </w:lvl>
    <w:lvl w:ilvl="2" w:tplc="3BEAE80C">
      <w:start w:val="1"/>
      <w:numFmt w:val="lowerRoman"/>
      <w:lvlText w:val="%3."/>
      <w:lvlJc w:val="right"/>
      <w:pPr>
        <w:ind w:left="2160" w:hanging="180"/>
      </w:pPr>
    </w:lvl>
    <w:lvl w:ilvl="3" w:tplc="A6A488FE">
      <w:start w:val="1"/>
      <w:numFmt w:val="decimal"/>
      <w:lvlText w:val="%4."/>
      <w:lvlJc w:val="left"/>
      <w:pPr>
        <w:ind w:left="2880" w:hanging="360"/>
      </w:pPr>
    </w:lvl>
    <w:lvl w:ilvl="4" w:tplc="082E3CDA">
      <w:start w:val="1"/>
      <w:numFmt w:val="lowerLetter"/>
      <w:lvlText w:val="%5."/>
      <w:lvlJc w:val="left"/>
      <w:pPr>
        <w:ind w:left="3600" w:hanging="360"/>
      </w:pPr>
    </w:lvl>
    <w:lvl w:ilvl="5" w:tplc="DC8EAD3C">
      <w:start w:val="1"/>
      <w:numFmt w:val="lowerRoman"/>
      <w:lvlText w:val="%6."/>
      <w:lvlJc w:val="right"/>
      <w:pPr>
        <w:ind w:left="4320" w:hanging="180"/>
      </w:pPr>
    </w:lvl>
    <w:lvl w:ilvl="6" w:tplc="53AE9BAE">
      <w:start w:val="1"/>
      <w:numFmt w:val="decimal"/>
      <w:lvlText w:val="%7."/>
      <w:lvlJc w:val="left"/>
      <w:pPr>
        <w:ind w:left="5040" w:hanging="360"/>
      </w:pPr>
    </w:lvl>
    <w:lvl w:ilvl="7" w:tplc="EE34DB26">
      <w:start w:val="1"/>
      <w:numFmt w:val="lowerLetter"/>
      <w:lvlText w:val="%8."/>
      <w:lvlJc w:val="left"/>
      <w:pPr>
        <w:ind w:left="5760" w:hanging="360"/>
      </w:pPr>
    </w:lvl>
    <w:lvl w:ilvl="8" w:tplc="EB4C4DD6">
      <w:start w:val="1"/>
      <w:numFmt w:val="lowerRoman"/>
      <w:lvlText w:val="%9."/>
      <w:lvlJc w:val="right"/>
      <w:pPr>
        <w:ind w:left="6480" w:hanging="180"/>
      </w:pPr>
    </w:lvl>
  </w:abstractNum>
  <w:abstractNum w:abstractNumId="27" w15:restartNumberingAfterBreak="0">
    <w:nsid w:val="73C22EA0"/>
    <w:multiLevelType w:val="hybridMultilevel"/>
    <w:tmpl w:val="F9641CEC"/>
    <w:lvl w:ilvl="0" w:tplc="AE0A4F1A">
      <w:start w:val="1"/>
      <w:numFmt w:val="bullet"/>
      <w:lvlText w:val="-"/>
      <w:lvlJc w:val="left"/>
      <w:pPr>
        <w:ind w:left="721" w:hanging="360"/>
      </w:pPr>
      <w:rPr>
        <w:rFonts w:ascii="Times New Roman" w:hAnsi="Times New Roman" w:cs="Times New Roman" w:hint="default"/>
      </w:rPr>
    </w:lvl>
    <w:lvl w:ilvl="1" w:tplc="041B0003" w:tentative="1">
      <w:start w:val="1"/>
      <w:numFmt w:val="bullet"/>
      <w:lvlText w:val="o"/>
      <w:lvlJc w:val="left"/>
      <w:pPr>
        <w:ind w:left="1441" w:hanging="360"/>
      </w:pPr>
      <w:rPr>
        <w:rFonts w:ascii="Courier New" w:hAnsi="Courier New" w:cs="Courier New" w:hint="default"/>
      </w:rPr>
    </w:lvl>
    <w:lvl w:ilvl="2" w:tplc="041B0005" w:tentative="1">
      <w:start w:val="1"/>
      <w:numFmt w:val="bullet"/>
      <w:lvlText w:val=""/>
      <w:lvlJc w:val="left"/>
      <w:pPr>
        <w:ind w:left="2161" w:hanging="360"/>
      </w:pPr>
      <w:rPr>
        <w:rFonts w:ascii="Wingdings" w:hAnsi="Wingdings" w:hint="default"/>
      </w:rPr>
    </w:lvl>
    <w:lvl w:ilvl="3" w:tplc="041B0001" w:tentative="1">
      <w:start w:val="1"/>
      <w:numFmt w:val="bullet"/>
      <w:lvlText w:val=""/>
      <w:lvlJc w:val="left"/>
      <w:pPr>
        <w:ind w:left="2881" w:hanging="360"/>
      </w:pPr>
      <w:rPr>
        <w:rFonts w:ascii="Symbol" w:hAnsi="Symbol" w:hint="default"/>
      </w:rPr>
    </w:lvl>
    <w:lvl w:ilvl="4" w:tplc="041B0003" w:tentative="1">
      <w:start w:val="1"/>
      <w:numFmt w:val="bullet"/>
      <w:lvlText w:val="o"/>
      <w:lvlJc w:val="left"/>
      <w:pPr>
        <w:ind w:left="3601" w:hanging="360"/>
      </w:pPr>
      <w:rPr>
        <w:rFonts w:ascii="Courier New" w:hAnsi="Courier New" w:cs="Courier New" w:hint="default"/>
      </w:rPr>
    </w:lvl>
    <w:lvl w:ilvl="5" w:tplc="041B0005" w:tentative="1">
      <w:start w:val="1"/>
      <w:numFmt w:val="bullet"/>
      <w:lvlText w:val=""/>
      <w:lvlJc w:val="left"/>
      <w:pPr>
        <w:ind w:left="4321" w:hanging="360"/>
      </w:pPr>
      <w:rPr>
        <w:rFonts w:ascii="Wingdings" w:hAnsi="Wingdings" w:hint="default"/>
      </w:rPr>
    </w:lvl>
    <w:lvl w:ilvl="6" w:tplc="041B0001" w:tentative="1">
      <w:start w:val="1"/>
      <w:numFmt w:val="bullet"/>
      <w:lvlText w:val=""/>
      <w:lvlJc w:val="left"/>
      <w:pPr>
        <w:ind w:left="5041" w:hanging="360"/>
      </w:pPr>
      <w:rPr>
        <w:rFonts w:ascii="Symbol" w:hAnsi="Symbol" w:hint="default"/>
      </w:rPr>
    </w:lvl>
    <w:lvl w:ilvl="7" w:tplc="041B0003" w:tentative="1">
      <w:start w:val="1"/>
      <w:numFmt w:val="bullet"/>
      <w:lvlText w:val="o"/>
      <w:lvlJc w:val="left"/>
      <w:pPr>
        <w:ind w:left="5761" w:hanging="360"/>
      </w:pPr>
      <w:rPr>
        <w:rFonts w:ascii="Courier New" w:hAnsi="Courier New" w:cs="Courier New" w:hint="default"/>
      </w:rPr>
    </w:lvl>
    <w:lvl w:ilvl="8" w:tplc="041B0005" w:tentative="1">
      <w:start w:val="1"/>
      <w:numFmt w:val="bullet"/>
      <w:lvlText w:val=""/>
      <w:lvlJc w:val="left"/>
      <w:pPr>
        <w:ind w:left="6481" w:hanging="360"/>
      </w:pPr>
      <w:rPr>
        <w:rFonts w:ascii="Wingdings" w:hAnsi="Wingdings" w:hint="default"/>
      </w:rPr>
    </w:lvl>
  </w:abstractNum>
  <w:abstractNum w:abstractNumId="28" w15:restartNumberingAfterBreak="0">
    <w:nsid w:val="78ED6620"/>
    <w:multiLevelType w:val="hybridMultilevel"/>
    <w:tmpl w:val="36500F5E"/>
    <w:lvl w:ilvl="0" w:tplc="6BBC70EC">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7B5534F3"/>
    <w:multiLevelType w:val="hybridMultilevel"/>
    <w:tmpl w:val="737CF590"/>
    <w:lvl w:ilvl="0" w:tplc="B574CDFA">
      <w:start w:val="3"/>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num w:numId="1">
    <w:abstractNumId w:val="0"/>
  </w:num>
  <w:num w:numId="2">
    <w:abstractNumId w:val="23"/>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2"/>
  </w:num>
  <w:num w:numId="17">
    <w:abstractNumId w:val="16"/>
  </w:num>
  <w:num w:numId="18">
    <w:abstractNumId w:val="28"/>
  </w:num>
  <w:num w:numId="19">
    <w:abstractNumId w:val="8"/>
  </w:num>
  <w:num w:numId="20">
    <w:abstractNumId w:val="25"/>
  </w:num>
  <w:num w:numId="21">
    <w:abstractNumId w:val="12"/>
  </w:num>
  <w:num w:numId="22">
    <w:abstractNumId w:val="18"/>
  </w:num>
  <w:num w:numId="23">
    <w:abstractNumId w:val="7"/>
  </w:num>
  <w:num w:numId="24">
    <w:abstractNumId w:val="6"/>
  </w:num>
  <w:num w:numId="25">
    <w:abstractNumId w:val="23"/>
  </w:num>
  <w:num w:numId="26">
    <w:abstractNumId w:val="5"/>
  </w:num>
  <w:num w:numId="27">
    <w:abstractNumId w:val="29"/>
  </w:num>
  <w:num w:numId="28">
    <w:abstractNumId w:val="13"/>
  </w:num>
  <w:num w:numId="29">
    <w:abstractNumId w:val="22"/>
  </w:num>
  <w:num w:numId="30">
    <w:abstractNumId w:val="21"/>
  </w:num>
  <w:num w:numId="31">
    <w:abstractNumId w:val="19"/>
  </w:num>
  <w:num w:numId="32">
    <w:abstractNumId w:val="27"/>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50"/>
    <w:rsid w:val="00003CB8"/>
    <w:rsid w:val="00015B2A"/>
    <w:rsid w:val="00016357"/>
    <w:rsid w:val="000167AA"/>
    <w:rsid w:val="00030F81"/>
    <w:rsid w:val="0003125E"/>
    <w:rsid w:val="00036305"/>
    <w:rsid w:val="00041C37"/>
    <w:rsid w:val="00043E3E"/>
    <w:rsid w:val="00060542"/>
    <w:rsid w:val="00063F60"/>
    <w:rsid w:val="00080306"/>
    <w:rsid w:val="0008051D"/>
    <w:rsid w:val="00085A47"/>
    <w:rsid w:val="00086A4A"/>
    <w:rsid w:val="000923D3"/>
    <w:rsid w:val="000953BD"/>
    <w:rsid w:val="000A0892"/>
    <w:rsid w:val="000A6CF0"/>
    <w:rsid w:val="000B0517"/>
    <w:rsid w:val="000B0D97"/>
    <w:rsid w:val="000B10C2"/>
    <w:rsid w:val="000B37A4"/>
    <w:rsid w:val="000B562F"/>
    <w:rsid w:val="000D0105"/>
    <w:rsid w:val="000D2F1D"/>
    <w:rsid w:val="000D3B37"/>
    <w:rsid w:val="000D59C3"/>
    <w:rsid w:val="000E40E4"/>
    <w:rsid w:val="000F1B1D"/>
    <w:rsid w:val="000F3A9F"/>
    <w:rsid w:val="000F3E2A"/>
    <w:rsid w:val="000F6F27"/>
    <w:rsid w:val="0010441F"/>
    <w:rsid w:val="00105146"/>
    <w:rsid w:val="001052DE"/>
    <w:rsid w:val="0010772C"/>
    <w:rsid w:val="00112890"/>
    <w:rsid w:val="00114F64"/>
    <w:rsid w:val="00120E95"/>
    <w:rsid w:val="00123810"/>
    <w:rsid w:val="0012475C"/>
    <w:rsid w:val="001326B3"/>
    <w:rsid w:val="001412F4"/>
    <w:rsid w:val="00143B2A"/>
    <w:rsid w:val="00147F78"/>
    <w:rsid w:val="001532EB"/>
    <w:rsid w:val="00154370"/>
    <w:rsid w:val="00154776"/>
    <w:rsid w:val="0017726A"/>
    <w:rsid w:val="00185688"/>
    <w:rsid w:val="001859AE"/>
    <w:rsid w:val="00187FBC"/>
    <w:rsid w:val="00191D64"/>
    <w:rsid w:val="00191E09"/>
    <w:rsid w:val="001A3B66"/>
    <w:rsid w:val="001A6FBC"/>
    <w:rsid w:val="001B0914"/>
    <w:rsid w:val="001B380F"/>
    <w:rsid w:val="001B557A"/>
    <w:rsid w:val="001D1AAE"/>
    <w:rsid w:val="001D4785"/>
    <w:rsid w:val="001E0AE2"/>
    <w:rsid w:val="001E1B04"/>
    <w:rsid w:val="002001E9"/>
    <w:rsid w:val="00203404"/>
    <w:rsid w:val="0021704C"/>
    <w:rsid w:val="00231651"/>
    <w:rsid w:val="0024085B"/>
    <w:rsid w:val="00243439"/>
    <w:rsid w:val="002435C2"/>
    <w:rsid w:val="00243F0C"/>
    <w:rsid w:val="00246BE8"/>
    <w:rsid w:val="00254A11"/>
    <w:rsid w:val="0025700B"/>
    <w:rsid w:val="0026091C"/>
    <w:rsid w:val="0026301F"/>
    <w:rsid w:val="0026587B"/>
    <w:rsid w:val="00265A58"/>
    <w:rsid w:val="002A02C4"/>
    <w:rsid w:val="002A2939"/>
    <w:rsid w:val="002A402C"/>
    <w:rsid w:val="002A4776"/>
    <w:rsid w:val="002A4822"/>
    <w:rsid w:val="002A50BF"/>
    <w:rsid w:val="002A6CE7"/>
    <w:rsid w:val="002A6FCC"/>
    <w:rsid w:val="002B58C8"/>
    <w:rsid w:val="002B642D"/>
    <w:rsid w:val="002C0353"/>
    <w:rsid w:val="002C04B2"/>
    <w:rsid w:val="002C224F"/>
    <w:rsid w:val="002D1507"/>
    <w:rsid w:val="002D2ACC"/>
    <w:rsid w:val="002D3EEE"/>
    <w:rsid w:val="002D446A"/>
    <w:rsid w:val="002E4A22"/>
    <w:rsid w:val="002E4DF1"/>
    <w:rsid w:val="002E6E4B"/>
    <w:rsid w:val="002F1E67"/>
    <w:rsid w:val="002F2339"/>
    <w:rsid w:val="002F5006"/>
    <w:rsid w:val="002F5C8B"/>
    <w:rsid w:val="002F6803"/>
    <w:rsid w:val="002F700E"/>
    <w:rsid w:val="00300113"/>
    <w:rsid w:val="00300226"/>
    <w:rsid w:val="003007C6"/>
    <w:rsid w:val="003020E4"/>
    <w:rsid w:val="00303CC7"/>
    <w:rsid w:val="00306864"/>
    <w:rsid w:val="00307112"/>
    <w:rsid w:val="00315FFC"/>
    <w:rsid w:val="003173B8"/>
    <w:rsid w:val="003237CF"/>
    <w:rsid w:val="00324C1E"/>
    <w:rsid w:val="0033685B"/>
    <w:rsid w:val="00336E4F"/>
    <w:rsid w:val="00360144"/>
    <w:rsid w:val="0036152B"/>
    <w:rsid w:val="0037643D"/>
    <w:rsid w:val="00377AB9"/>
    <w:rsid w:val="00380F2D"/>
    <w:rsid w:val="00383AEA"/>
    <w:rsid w:val="00383B50"/>
    <w:rsid w:val="0038478A"/>
    <w:rsid w:val="00391E81"/>
    <w:rsid w:val="00393BE5"/>
    <w:rsid w:val="00394A79"/>
    <w:rsid w:val="003A1B3F"/>
    <w:rsid w:val="003A2407"/>
    <w:rsid w:val="003A3891"/>
    <w:rsid w:val="003B1C76"/>
    <w:rsid w:val="003B3D7E"/>
    <w:rsid w:val="003B3DE1"/>
    <w:rsid w:val="003B4452"/>
    <w:rsid w:val="003C15BA"/>
    <w:rsid w:val="003C1BA0"/>
    <w:rsid w:val="003C3F0A"/>
    <w:rsid w:val="003D1107"/>
    <w:rsid w:val="003D2CD1"/>
    <w:rsid w:val="003E30B4"/>
    <w:rsid w:val="003E39B0"/>
    <w:rsid w:val="00403FEC"/>
    <w:rsid w:val="00404458"/>
    <w:rsid w:val="004059BF"/>
    <w:rsid w:val="004073E4"/>
    <w:rsid w:val="0041059B"/>
    <w:rsid w:val="00411459"/>
    <w:rsid w:val="00414D74"/>
    <w:rsid w:val="00414E28"/>
    <w:rsid w:val="00417BDD"/>
    <w:rsid w:val="00421FB3"/>
    <w:rsid w:val="00423FFC"/>
    <w:rsid w:val="00426556"/>
    <w:rsid w:val="004277E9"/>
    <w:rsid w:val="0043255F"/>
    <w:rsid w:val="00433251"/>
    <w:rsid w:val="00443BC3"/>
    <w:rsid w:val="0044469D"/>
    <w:rsid w:val="00450DEB"/>
    <w:rsid w:val="00452E87"/>
    <w:rsid w:val="004559D7"/>
    <w:rsid w:val="00457183"/>
    <w:rsid w:val="00460FEE"/>
    <w:rsid w:val="004640E8"/>
    <w:rsid w:val="004663FD"/>
    <w:rsid w:val="00467224"/>
    <w:rsid w:val="00467FF7"/>
    <w:rsid w:val="00474305"/>
    <w:rsid w:val="004771B7"/>
    <w:rsid w:val="0048244F"/>
    <w:rsid w:val="00496CBA"/>
    <w:rsid w:val="00497494"/>
    <w:rsid w:val="004A2CB5"/>
    <w:rsid w:val="004A5781"/>
    <w:rsid w:val="004B7D78"/>
    <w:rsid w:val="004C0F64"/>
    <w:rsid w:val="004C211A"/>
    <w:rsid w:val="004D0D4A"/>
    <w:rsid w:val="004D1F3F"/>
    <w:rsid w:val="004D3001"/>
    <w:rsid w:val="004D37FE"/>
    <w:rsid w:val="004D51AB"/>
    <w:rsid w:val="004E1EF1"/>
    <w:rsid w:val="004E6C38"/>
    <w:rsid w:val="004F3800"/>
    <w:rsid w:val="00506472"/>
    <w:rsid w:val="00506CF5"/>
    <w:rsid w:val="00512DD3"/>
    <w:rsid w:val="00513D81"/>
    <w:rsid w:val="005141EE"/>
    <w:rsid w:val="00517A09"/>
    <w:rsid w:val="00523079"/>
    <w:rsid w:val="00530194"/>
    <w:rsid w:val="00535DD2"/>
    <w:rsid w:val="00540F0E"/>
    <w:rsid w:val="00546975"/>
    <w:rsid w:val="005531FF"/>
    <w:rsid w:val="00553544"/>
    <w:rsid w:val="00554119"/>
    <w:rsid w:val="00557670"/>
    <w:rsid w:val="00562B20"/>
    <w:rsid w:val="00564729"/>
    <w:rsid w:val="00564FA8"/>
    <w:rsid w:val="00566C2B"/>
    <w:rsid w:val="00573A8E"/>
    <w:rsid w:val="005826E3"/>
    <w:rsid w:val="0058426D"/>
    <w:rsid w:val="00594A95"/>
    <w:rsid w:val="0059623A"/>
    <w:rsid w:val="005A0289"/>
    <w:rsid w:val="005A4090"/>
    <w:rsid w:val="005A5DBD"/>
    <w:rsid w:val="005A730A"/>
    <w:rsid w:val="005B6D8B"/>
    <w:rsid w:val="005C46DA"/>
    <w:rsid w:val="005D30DC"/>
    <w:rsid w:val="005D390D"/>
    <w:rsid w:val="005E7A07"/>
    <w:rsid w:val="005E7BCA"/>
    <w:rsid w:val="005F56EF"/>
    <w:rsid w:val="00600C44"/>
    <w:rsid w:val="00600E62"/>
    <w:rsid w:val="0061147A"/>
    <w:rsid w:val="00625FF7"/>
    <w:rsid w:val="00630B1B"/>
    <w:rsid w:val="00635B1E"/>
    <w:rsid w:val="00636626"/>
    <w:rsid w:val="00645824"/>
    <w:rsid w:val="006458D1"/>
    <w:rsid w:val="00656630"/>
    <w:rsid w:val="00656DDF"/>
    <w:rsid w:val="00660F99"/>
    <w:rsid w:val="006635C8"/>
    <w:rsid w:val="0066714B"/>
    <w:rsid w:val="00676DEF"/>
    <w:rsid w:val="00684CF6"/>
    <w:rsid w:val="0069216B"/>
    <w:rsid w:val="006944C4"/>
    <w:rsid w:val="006A1A7F"/>
    <w:rsid w:val="006A25ED"/>
    <w:rsid w:val="006A5415"/>
    <w:rsid w:val="006B2E2C"/>
    <w:rsid w:val="006B5761"/>
    <w:rsid w:val="006C05D3"/>
    <w:rsid w:val="006C0BF9"/>
    <w:rsid w:val="006C3757"/>
    <w:rsid w:val="006C3A77"/>
    <w:rsid w:val="006D3A59"/>
    <w:rsid w:val="006D508D"/>
    <w:rsid w:val="006D57B8"/>
    <w:rsid w:val="006D6535"/>
    <w:rsid w:val="006E2E92"/>
    <w:rsid w:val="006E623A"/>
    <w:rsid w:val="006F429C"/>
    <w:rsid w:val="006F4B42"/>
    <w:rsid w:val="006F6C64"/>
    <w:rsid w:val="00703509"/>
    <w:rsid w:val="00706D92"/>
    <w:rsid w:val="00717A69"/>
    <w:rsid w:val="00722006"/>
    <w:rsid w:val="00726DB7"/>
    <w:rsid w:val="007303F4"/>
    <w:rsid w:val="00735946"/>
    <w:rsid w:val="00737049"/>
    <w:rsid w:val="0074516D"/>
    <w:rsid w:val="00751259"/>
    <w:rsid w:val="00753DD8"/>
    <w:rsid w:val="00755563"/>
    <w:rsid w:val="007622B4"/>
    <w:rsid w:val="00775F2A"/>
    <w:rsid w:val="007910FB"/>
    <w:rsid w:val="00796A81"/>
    <w:rsid w:val="007A12E9"/>
    <w:rsid w:val="007A2ACF"/>
    <w:rsid w:val="007A7E4E"/>
    <w:rsid w:val="007B2B23"/>
    <w:rsid w:val="007C13AD"/>
    <w:rsid w:val="007C26A5"/>
    <w:rsid w:val="007C49E8"/>
    <w:rsid w:val="007C5030"/>
    <w:rsid w:val="007C5509"/>
    <w:rsid w:val="007D4480"/>
    <w:rsid w:val="007D574F"/>
    <w:rsid w:val="007D5B9D"/>
    <w:rsid w:val="007D6208"/>
    <w:rsid w:val="007E51CD"/>
    <w:rsid w:val="007E6CC9"/>
    <w:rsid w:val="007F2119"/>
    <w:rsid w:val="007F51CE"/>
    <w:rsid w:val="007F6DA2"/>
    <w:rsid w:val="0080283E"/>
    <w:rsid w:val="0080382E"/>
    <w:rsid w:val="008041D7"/>
    <w:rsid w:val="00814775"/>
    <w:rsid w:val="00815EDF"/>
    <w:rsid w:val="00821E88"/>
    <w:rsid w:val="00822BCA"/>
    <w:rsid w:val="0082377E"/>
    <w:rsid w:val="00823E13"/>
    <w:rsid w:val="00825C44"/>
    <w:rsid w:val="00826211"/>
    <w:rsid w:val="008277EF"/>
    <w:rsid w:val="00830D3C"/>
    <w:rsid w:val="008375CB"/>
    <w:rsid w:val="00846D79"/>
    <w:rsid w:val="00854FD5"/>
    <w:rsid w:val="00861C6F"/>
    <w:rsid w:val="00863A6F"/>
    <w:rsid w:val="008755AD"/>
    <w:rsid w:val="00876F93"/>
    <w:rsid w:val="00881D18"/>
    <w:rsid w:val="008877E8"/>
    <w:rsid w:val="0089600A"/>
    <w:rsid w:val="00896528"/>
    <w:rsid w:val="008A1C8B"/>
    <w:rsid w:val="008A4054"/>
    <w:rsid w:val="008A4832"/>
    <w:rsid w:val="008A4A8E"/>
    <w:rsid w:val="008A5A70"/>
    <w:rsid w:val="008A7BA8"/>
    <w:rsid w:val="008B03FE"/>
    <w:rsid w:val="008B3A21"/>
    <w:rsid w:val="008B413E"/>
    <w:rsid w:val="008C5361"/>
    <w:rsid w:val="008D0F1F"/>
    <w:rsid w:val="008D48F6"/>
    <w:rsid w:val="008D5481"/>
    <w:rsid w:val="008D58EE"/>
    <w:rsid w:val="008D64B4"/>
    <w:rsid w:val="008E79D2"/>
    <w:rsid w:val="008E7B78"/>
    <w:rsid w:val="00900836"/>
    <w:rsid w:val="00900A39"/>
    <w:rsid w:val="00900D5C"/>
    <w:rsid w:val="009109DD"/>
    <w:rsid w:val="00911520"/>
    <w:rsid w:val="00912983"/>
    <w:rsid w:val="009157FE"/>
    <w:rsid w:val="00922C46"/>
    <w:rsid w:val="00930CA3"/>
    <w:rsid w:val="009320AF"/>
    <w:rsid w:val="00932D09"/>
    <w:rsid w:val="009419BB"/>
    <w:rsid w:val="00943A5C"/>
    <w:rsid w:val="009455D4"/>
    <w:rsid w:val="00946327"/>
    <w:rsid w:val="009463E5"/>
    <w:rsid w:val="00951437"/>
    <w:rsid w:val="00965412"/>
    <w:rsid w:val="009664FB"/>
    <w:rsid w:val="0096732F"/>
    <w:rsid w:val="00973167"/>
    <w:rsid w:val="00973979"/>
    <w:rsid w:val="0097736F"/>
    <w:rsid w:val="0097785E"/>
    <w:rsid w:val="00981C74"/>
    <w:rsid w:val="009821ED"/>
    <w:rsid w:val="0098496F"/>
    <w:rsid w:val="00986221"/>
    <w:rsid w:val="00991390"/>
    <w:rsid w:val="0099171A"/>
    <w:rsid w:val="00994424"/>
    <w:rsid w:val="009A0E76"/>
    <w:rsid w:val="009B1EEC"/>
    <w:rsid w:val="009B4609"/>
    <w:rsid w:val="009B50C8"/>
    <w:rsid w:val="009C00FC"/>
    <w:rsid w:val="009C12DF"/>
    <w:rsid w:val="009C1388"/>
    <w:rsid w:val="009C5957"/>
    <w:rsid w:val="009C7130"/>
    <w:rsid w:val="009E36D3"/>
    <w:rsid w:val="009E52ED"/>
    <w:rsid w:val="00A02F66"/>
    <w:rsid w:val="00A055B2"/>
    <w:rsid w:val="00A06DF6"/>
    <w:rsid w:val="00A11CF2"/>
    <w:rsid w:val="00A15F73"/>
    <w:rsid w:val="00A24AD5"/>
    <w:rsid w:val="00A30CBC"/>
    <w:rsid w:val="00A34E0F"/>
    <w:rsid w:val="00A34FFD"/>
    <w:rsid w:val="00A424A0"/>
    <w:rsid w:val="00A459E6"/>
    <w:rsid w:val="00A4753D"/>
    <w:rsid w:val="00A50193"/>
    <w:rsid w:val="00A51213"/>
    <w:rsid w:val="00A52860"/>
    <w:rsid w:val="00A529FA"/>
    <w:rsid w:val="00A5381A"/>
    <w:rsid w:val="00A559E5"/>
    <w:rsid w:val="00A55A63"/>
    <w:rsid w:val="00A566D0"/>
    <w:rsid w:val="00A635F6"/>
    <w:rsid w:val="00A64AB1"/>
    <w:rsid w:val="00A65633"/>
    <w:rsid w:val="00A67361"/>
    <w:rsid w:val="00A6788F"/>
    <w:rsid w:val="00A7030D"/>
    <w:rsid w:val="00A70D30"/>
    <w:rsid w:val="00A70FAD"/>
    <w:rsid w:val="00A7798D"/>
    <w:rsid w:val="00A83B91"/>
    <w:rsid w:val="00A84056"/>
    <w:rsid w:val="00A846B0"/>
    <w:rsid w:val="00A85A3B"/>
    <w:rsid w:val="00AA0058"/>
    <w:rsid w:val="00AB44F4"/>
    <w:rsid w:val="00AB6513"/>
    <w:rsid w:val="00AC3116"/>
    <w:rsid w:val="00AC644C"/>
    <w:rsid w:val="00AD2A61"/>
    <w:rsid w:val="00AD2EC2"/>
    <w:rsid w:val="00AD51FF"/>
    <w:rsid w:val="00AE025B"/>
    <w:rsid w:val="00AE63F4"/>
    <w:rsid w:val="00AF0A87"/>
    <w:rsid w:val="00AF4EE4"/>
    <w:rsid w:val="00AF77F9"/>
    <w:rsid w:val="00B1490A"/>
    <w:rsid w:val="00B226A4"/>
    <w:rsid w:val="00B307F6"/>
    <w:rsid w:val="00B3166E"/>
    <w:rsid w:val="00B345AB"/>
    <w:rsid w:val="00B356CC"/>
    <w:rsid w:val="00B45AA2"/>
    <w:rsid w:val="00B52831"/>
    <w:rsid w:val="00B566A6"/>
    <w:rsid w:val="00B60513"/>
    <w:rsid w:val="00B660DF"/>
    <w:rsid w:val="00B67243"/>
    <w:rsid w:val="00B70812"/>
    <w:rsid w:val="00B80DA3"/>
    <w:rsid w:val="00B83572"/>
    <w:rsid w:val="00B94F1E"/>
    <w:rsid w:val="00B950CD"/>
    <w:rsid w:val="00BA0505"/>
    <w:rsid w:val="00BA0717"/>
    <w:rsid w:val="00BA25BD"/>
    <w:rsid w:val="00BA7302"/>
    <w:rsid w:val="00BA774A"/>
    <w:rsid w:val="00BB0826"/>
    <w:rsid w:val="00BB3A15"/>
    <w:rsid w:val="00BB4283"/>
    <w:rsid w:val="00BB4773"/>
    <w:rsid w:val="00BB49C2"/>
    <w:rsid w:val="00BC2545"/>
    <w:rsid w:val="00BC5861"/>
    <w:rsid w:val="00BC6EFE"/>
    <w:rsid w:val="00BD26BE"/>
    <w:rsid w:val="00BD3F66"/>
    <w:rsid w:val="00BD42FC"/>
    <w:rsid w:val="00BD5E94"/>
    <w:rsid w:val="00BD6445"/>
    <w:rsid w:val="00BE4609"/>
    <w:rsid w:val="00BE530A"/>
    <w:rsid w:val="00BF16B7"/>
    <w:rsid w:val="00BF4287"/>
    <w:rsid w:val="00C0242E"/>
    <w:rsid w:val="00C139D6"/>
    <w:rsid w:val="00C22461"/>
    <w:rsid w:val="00C2547F"/>
    <w:rsid w:val="00C274D7"/>
    <w:rsid w:val="00C3571B"/>
    <w:rsid w:val="00C362E7"/>
    <w:rsid w:val="00C36630"/>
    <w:rsid w:val="00C442D9"/>
    <w:rsid w:val="00C464D9"/>
    <w:rsid w:val="00C5474D"/>
    <w:rsid w:val="00C6340F"/>
    <w:rsid w:val="00C71783"/>
    <w:rsid w:val="00C76303"/>
    <w:rsid w:val="00C77514"/>
    <w:rsid w:val="00C84928"/>
    <w:rsid w:val="00C84A14"/>
    <w:rsid w:val="00C858FD"/>
    <w:rsid w:val="00C8627A"/>
    <w:rsid w:val="00C95ED5"/>
    <w:rsid w:val="00C9663F"/>
    <w:rsid w:val="00CA2922"/>
    <w:rsid w:val="00CA3F66"/>
    <w:rsid w:val="00CA61B9"/>
    <w:rsid w:val="00CA6299"/>
    <w:rsid w:val="00CA760B"/>
    <w:rsid w:val="00CA77D1"/>
    <w:rsid w:val="00CB02C4"/>
    <w:rsid w:val="00CB11C2"/>
    <w:rsid w:val="00CB23F4"/>
    <w:rsid w:val="00CB3404"/>
    <w:rsid w:val="00CC04D3"/>
    <w:rsid w:val="00CD480F"/>
    <w:rsid w:val="00CE75E3"/>
    <w:rsid w:val="00CF1654"/>
    <w:rsid w:val="00D05EA8"/>
    <w:rsid w:val="00D12484"/>
    <w:rsid w:val="00D15DA5"/>
    <w:rsid w:val="00D218E5"/>
    <w:rsid w:val="00D242BB"/>
    <w:rsid w:val="00D27309"/>
    <w:rsid w:val="00D275E9"/>
    <w:rsid w:val="00D32563"/>
    <w:rsid w:val="00D33281"/>
    <w:rsid w:val="00D42084"/>
    <w:rsid w:val="00D4390C"/>
    <w:rsid w:val="00D44419"/>
    <w:rsid w:val="00D50E25"/>
    <w:rsid w:val="00D55C5D"/>
    <w:rsid w:val="00D612BA"/>
    <w:rsid w:val="00D63C4F"/>
    <w:rsid w:val="00D67337"/>
    <w:rsid w:val="00D75CA8"/>
    <w:rsid w:val="00D80AF3"/>
    <w:rsid w:val="00D82101"/>
    <w:rsid w:val="00D82C7E"/>
    <w:rsid w:val="00D92F48"/>
    <w:rsid w:val="00DA0F91"/>
    <w:rsid w:val="00DA14A1"/>
    <w:rsid w:val="00DA309C"/>
    <w:rsid w:val="00DB27E7"/>
    <w:rsid w:val="00DB7FB9"/>
    <w:rsid w:val="00DC12F8"/>
    <w:rsid w:val="00DC1951"/>
    <w:rsid w:val="00DC21F5"/>
    <w:rsid w:val="00DC2822"/>
    <w:rsid w:val="00DC353D"/>
    <w:rsid w:val="00DC4021"/>
    <w:rsid w:val="00DC4585"/>
    <w:rsid w:val="00DD1236"/>
    <w:rsid w:val="00DD1C74"/>
    <w:rsid w:val="00DD3060"/>
    <w:rsid w:val="00DD6778"/>
    <w:rsid w:val="00DD71DC"/>
    <w:rsid w:val="00DD7ED2"/>
    <w:rsid w:val="00DE2D6A"/>
    <w:rsid w:val="00DE5D66"/>
    <w:rsid w:val="00DF7F88"/>
    <w:rsid w:val="00E15998"/>
    <w:rsid w:val="00E17E5E"/>
    <w:rsid w:val="00E2208D"/>
    <w:rsid w:val="00E2458F"/>
    <w:rsid w:val="00E25A10"/>
    <w:rsid w:val="00E311FA"/>
    <w:rsid w:val="00E364D9"/>
    <w:rsid w:val="00E37A4F"/>
    <w:rsid w:val="00E4299F"/>
    <w:rsid w:val="00E44884"/>
    <w:rsid w:val="00E4522D"/>
    <w:rsid w:val="00E5520B"/>
    <w:rsid w:val="00E607B6"/>
    <w:rsid w:val="00E64C84"/>
    <w:rsid w:val="00E64DDA"/>
    <w:rsid w:val="00E65CC3"/>
    <w:rsid w:val="00E6638A"/>
    <w:rsid w:val="00E712BC"/>
    <w:rsid w:val="00E71799"/>
    <w:rsid w:val="00E72CF5"/>
    <w:rsid w:val="00E72F75"/>
    <w:rsid w:val="00E751E3"/>
    <w:rsid w:val="00E85EBC"/>
    <w:rsid w:val="00E912B7"/>
    <w:rsid w:val="00E91B83"/>
    <w:rsid w:val="00E97863"/>
    <w:rsid w:val="00EA1180"/>
    <w:rsid w:val="00EB129C"/>
    <w:rsid w:val="00EB5A53"/>
    <w:rsid w:val="00EB7F2C"/>
    <w:rsid w:val="00EC03B7"/>
    <w:rsid w:val="00EC56DD"/>
    <w:rsid w:val="00EC6AEB"/>
    <w:rsid w:val="00EC7A96"/>
    <w:rsid w:val="00ED2139"/>
    <w:rsid w:val="00ED4DD6"/>
    <w:rsid w:val="00ED588D"/>
    <w:rsid w:val="00ED5C22"/>
    <w:rsid w:val="00ED6495"/>
    <w:rsid w:val="00ED6711"/>
    <w:rsid w:val="00ED7465"/>
    <w:rsid w:val="00ED7600"/>
    <w:rsid w:val="00ED7607"/>
    <w:rsid w:val="00EE1C51"/>
    <w:rsid w:val="00EE4155"/>
    <w:rsid w:val="00EE5BAE"/>
    <w:rsid w:val="00EF2537"/>
    <w:rsid w:val="00F0310D"/>
    <w:rsid w:val="00F05EA2"/>
    <w:rsid w:val="00F11904"/>
    <w:rsid w:val="00F25E16"/>
    <w:rsid w:val="00F318A0"/>
    <w:rsid w:val="00F3318E"/>
    <w:rsid w:val="00F4080D"/>
    <w:rsid w:val="00F46AA9"/>
    <w:rsid w:val="00F478AF"/>
    <w:rsid w:val="00F571CB"/>
    <w:rsid w:val="00F62FC6"/>
    <w:rsid w:val="00F64087"/>
    <w:rsid w:val="00F67826"/>
    <w:rsid w:val="00F73137"/>
    <w:rsid w:val="00F74308"/>
    <w:rsid w:val="00F779BD"/>
    <w:rsid w:val="00F83363"/>
    <w:rsid w:val="00F84789"/>
    <w:rsid w:val="00F91784"/>
    <w:rsid w:val="00F9708E"/>
    <w:rsid w:val="00FA029F"/>
    <w:rsid w:val="00FA02C7"/>
    <w:rsid w:val="00FB1563"/>
    <w:rsid w:val="00FC2C7B"/>
    <w:rsid w:val="00FC4B13"/>
    <w:rsid w:val="00FC6149"/>
    <w:rsid w:val="00FC678C"/>
    <w:rsid w:val="00FD0D6D"/>
    <w:rsid w:val="00FE3A09"/>
    <w:rsid w:val="00FE3A13"/>
    <w:rsid w:val="00FE711E"/>
    <w:rsid w:val="00FF3385"/>
    <w:rsid w:val="00FF7062"/>
    <w:rsid w:val="00FF70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99709"/>
  <w15:chartTrackingRefBased/>
  <w15:docId w15:val="{C31B31BB-EAF9-4FFA-A955-51B631726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83B50"/>
    <w:pPr>
      <w:spacing w:after="0" w:line="240" w:lineRule="auto"/>
    </w:pPr>
    <w:rPr>
      <w:rFonts w:ascii="Arial" w:eastAsia="Times New Roman" w:hAnsi="Arial" w:cs="Times New Roman"/>
      <w:sz w:val="18"/>
      <w:szCs w:val="20"/>
      <w:lang w:eastAsia="sk-SK"/>
    </w:rPr>
  </w:style>
  <w:style w:type="paragraph" w:styleId="Nadpis1">
    <w:name w:val="heading 1"/>
    <w:aliases w:val="Nadpis 1 - IM,I,kapitola,Čo robí (časť),Chapter"/>
    <w:next w:val="Nadpis2"/>
    <w:link w:val="Nadpis1Char"/>
    <w:uiPriority w:val="9"/>
    <w:qFormat/>
    <w:rsid w:val="00383B50"/>
    <w:pPr>
      <w:keepNext/>
      <w:pageBreakBefore/>
      <w:spacing w:after="800" w:line="240" w:lineRule="auto"/>
      <w:ind w:left="432" w:hanging="432"/>
      <w:outlineLvl w:val="0"/>
    </w:pPr>
    <w:rPr>
      <w:rFonts w:ascii="Times New Roman Bold" w:eastAsia="Times New Roman" w:hAnsi="Times New Roman Bold" w:cs="Times New Roman"/>
      <w:bCs/>
      <w:color w:val="002776"/>
      <w:kern w:val="32"/>
      <w:sz w:val="60"/>
      <w:szCs w:val="32"/>
      <w:lang w:val="en-US"/>
    </w:rPr>
  </w:style>
  <w:style w:type="paragraph" w:styleId="Nadpis2">
    <w:name w:val="heading 2"/>
    <w:aliases w:val="AB,Nadpis_2,Úloha,Úloha Char,Heading 2 Char1,Heading 2 Char Char,Char Char Char Char Char Char"/>
    <w:basedOn w:val="Nadpis1"/>
    <w:next w:val="Nadpis3"/>
    <w:link w:val="Nadpis2Char"/>
    <w:uiPriority w:val="99"/>
    <w:unhideWhenUsed/>
    <w:qFormat/>
    <w:rsid w:val="00383B50"/>
    <w:pPr>
      <w:pageBreakBefore w:val="0"/>
      <w:spacing w:before="240" w:after="240"/>
      <w:ind w:left="576" w:hanging="576"/>
      <w:outlineLvl w:val="1"/>
    </w:pPr>
    <w:rPr>
      <w:rFonts w:ascii="Arial" w:hAnsi="Arial"/>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semiHidden/>
    <w:unhideWhenUsed/>
    <w:qFormat/>
    <w:rsid w:val="00383B50"/>
    <w:pPr>
      <w:ind w:left="2422" w:hanging="720"/>
      <w:outlineLvl w:val="2"/>
    </w:pPr>
    <w:rPr>
      <w:color w:val="3C8A2E"/>
      <w:szCs w:val="26"/>
    </w:rPr>
  </w:style>
  <w:style w:type="paragraph" w:styleId="Nadpis4">
    <w:name w:val="heading 4"/>
    <w:aliases w:val="Nadpis 4 - IM,H4,1-1,Termín"/>
    <w:basedOn w:val="Normlny"/>
    <w:next w:val="Normlny"/>
    <w:link w:val="Nadpis4Char"/>
    <w:semiHidden/>
    <w:unhideWhenUsed/>
    <w:qFormat/>
    <w:rsid w:val="00383B50"/>
    <w:pPr>
      <w:keepNext/>
      <w:keepLines/>
      <w:spacing w:before="240" w:after="240"/>
      <w:ind w:left="2424" w:hanging="864"/>
      <w:jc w:val="both"/>
      <w:outlineLvl w:val="3"/>
    </w:pPr>
    <w:rPr>
      <w:iCs/>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9"/>
    <w:rsid w:val="00383B50"/>
    <w:rPr>
      <w:rFonts w:ascii="Times New Roman Bold" w:eastAsia="Times New Roman" w:hAnsi="Times New Roman Bold" w:cs="Times New Roman"/>
      <w:bCs/>
      <w:color w:val="002776"/>
      <w:kern w:val="32"/>
      <w:sz w:val="60"/>
      <w:szCs w:val="32"/>
      <w:lang w:val="en-US"/>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383B50"/>
    <w:rPr>
      <w:rFonts w:ascii="Arial" w:eastAsia="Times New Roman" w:hAnsi="Arial" w:cs="Times New Roman"/>
      <w:iCs/>
      <w:color w:val="92D400"/>
      <w:kern w:val="32"/>
      <w:sz w:val="24"/>
      <w:szCs w:val="24"/>
      <w:lang w:val="en-US"/>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semiHidden/>
    <w:rsid w:val="00383B50"/>
    <w:rPr>
      <w:rFonts w:ascii="Arial" w:eastAsia="Times New Roman" w:hAnsi="Arial" w:cs="Times New Roman"/>
      <w:iCs/>
      <w:color w:val="3C8A2E"/>
      <w:kern w:val="32"/>
      <w:sz w:val="24"/>
      <w:szCs w:val="26"/>
      <w:lang w:val="en-US"/>
    </w:rPr>
  </w:style>
  <w:style w:type="character" w:customStyle="1" w:styleId="Nadpis4Char">
    <w:name w:val="Nadpis 4 Char"/>
    <w:aliases w:val="Nadpis 4 - IM Char,H4 Char,1-1 Char,Termín Char"/>
    <w:basedOn w:val="Predvolenpsmoodseku"/>
    <w:link w:val="Nadpis4"/>
    <w:semiHidden/>
    <w:rsid w:val="00383B50"/>
    <w:rPr>
      <w:rFonts w:ascii="Arial" w:eastAsia="Times New Roman" w:hAnsi="Arial" w:cs="Times New Roman"/>
      <w:iCs/>
      <w:sz w:val="24"/>
      <w:szCs w:val="20"/>
      <w:lang w:eastAsia="sk-SK"/>
    </w:rPr>
  </w:style>
  <w:style w:type="character" w:styleId="Hypertextovprepojenie">
    <w:name w:val="Hyperlink"/>
    <w:uiPriority w:val="99"/>
    <w:unhideWhenUsed/>
    <w:rsid w:val="00383B50"/>
    <w:rPr>
      <w:rFonts w:ascii="Arial" w:hAnsi="Arial" w:cs="Arial" w:hint="default"/>
      <w:color w:val="00A1DE"/>
      <w:sz w:val="19"/>
      <w:u w:val="single"/>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semiHidden/>
    <w:qFormat/>
    <w:locked/>
    <w:rsid w:val="00383B50"/>
    <w:rPr>
      <w:sz w:val="16"/>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semiHidden/>
    <w:unhideWhenUsed/>
    <w:qFormat/>
    <w:rsid w:val="00383B50"/>
    <w:rPr>
      <w:rFonts w:asciiTheme="minorHAnsi" w:eastAsiaTheme="minorHAnsi" w:hAnsiTheme="minorHAnsi" w:cstheme="minorBidi"/>
      <w:sz w:val="16"/>
      <w:szCs w:val="22"/>
      <w:lang w:eastAsia="en-US"/>
    </w:rPr>
  </w:style>
  <w:style w:type="character" w:customStyle="1" w:styleId="TextpoznmkypodiarouChar1">
    <w:name w:val="Text poznámky pod čiarou Char1"/>
    <w:basedOn w:val="Predvolenpsmoodseku"/>
    <w:uiPriority w:val="99"/>
    <w:semiHidden/>
    <w:rsid w:val="00383B50"/>
    <w:rPr>
      <w:rFonts w:ascii="Arial" w:eastAsia="Times New Roman" w:hAnsi="Arial" w:cs="Times New Roman"/>
      <w:sz w:val="20"/>
      <w:szCs w:val="20"/>
      <w:lang w:eastAsia="sk-SK"/>
    </w:rPr>
  </w:style>
  <w:style w:type="paragraph" w:styleId="Zoznamsodrkami">
    <w:name w:val="List Bullet"/>
    <w:basedOn w:val="Normlny"/>
    <w:autoRedefine/>
    <w:unhideWhenUsed/>
    <w:rsid w:val="005E7BCA"/>
    <w:pPr>
      <w:spacing w:before="120" w:line="276" w:lineRule="auto"/>
      <w:ind w:left="720" w:hanging="360"/>
      <w:jc w:val="both"/>
    </w:pPr>
    <w:rPr>
      <w:rFonts w:ascii="Times New Roman" w:hAnsi="Times New Roman" w:cs="Arial"/>
      <w:b/>
      <w:bCs/>
      <w:sz w:val="24"/>
      <w:szCs w:val="24"/>
    </w:rPr>
  </w:style>
  <w:style w:type="character" w:customStyle="1" w:styleId="OdsekzoznamuChar">
    <w:name w:val="Odsek zoznamu Char"/>
    <w:aliases w:val="body Char,List Paragraph Char"/>
    <w:link w:val="Odsekzoznamu"/>
    <w:uiPriority w:val="34"/>
    <w:locked/>
    <w:rsid w:val="00383B50"/>
    <w:rPr>
      <w:rFonts w:ascii="Arial" w:hAnsi="Arial" w:cs="Arial"/>
      <w:sz w:val="24"/>
      <w:lang w:eastAsia="cs-CZ"/>
    </w:rPr>
  </w:style>
  <w:style w:type="paragraph" w:styleId="Odsekzoznamu">
    <w:name w:val="List Paragraph"/>
    <w:aliases w:val="body,List Paragraph"/>
    <w:basedOn w:val="Normlny"/>
    <w:link w:val="OdsekzoznamuChar"/>
    <w:uiPriority w:val="34"/>
    <w:qFormat/>
    <w:rsid w:val="00383B50"/>
    <w:pPr>
      <w:ind w:left="720"/>
      <w:contextualSpacing/>
    </w:pPr>
    <w:rPr>
      <w:rFonts w:eastAsiaTheme="minorHAnsi" w:cs="Arial"/>
      <w:sz w:val="24"/>
      <w:szCs w:val="22"/>
      <w:lang w:eastAsia="cs-CZ"/>
    </w:rPr>
  </w:style>
  <w:style w:type="paragraph" w:customStyle="1" w:styleId="BodyText1">
    <w:name w:val="Body Text1"/>
    <w:qFormat/>
    <w:rsid w:val="00383B50"/>
    <w:pPr>
      <w:spacing w:before="120" w:after="120" w:line="288" w:lineRule="auto"/>
      <w:jc w:val="both"/>
    </w:pPr>
    <w:rPr>
      <w:rFonts w:ascii="Arial" w:eastAsia="Times New Roman" w:hAnsi="Arial" w:cs="Times New Roman"/>
      <w:color w:val="000000"/>
      <w:sz w:val="19"/>
      <w:szCs w:val="48"/>
      <w:lang w:val="cs-CZ"/>
    </w:rPr>
  </w:style>
  <w:style w:type="character" w:styleId="Odkaznapoznmkupodiarou">
    <w:name w:val="footnote reference"/>
    <w:aliases w:val="Footnote symbol,Footnote,Odkaz na poznámku pod čiarou1,Footnote Refernece,BVI fnr,Fußnotenzeichen_Raxen,callout,Footnote Reference Number,SUPERS,Footnote reference number,Times 10 Point,Exposant 3 Point,EN Footnote Reference"/>
    <w:uiPriority w:val="99"/>
    <w:semiHidden/>
    <w:unhideWhenUsed/>
    <w:rsid w:val="00383B50"/>
    <w:rPr>
      <w:rFonts w:ascii="Arial" w:hAnsi="Arial" w:cs="Arial" w:hint="default"/>
      <w:sz w:val="16"/>
      <w:vertAlign w:val="superscript"/>
    </w:rPr>
  </w:style>
  <w:style w:type="paragraph" w:styleId="Hlavikaobsahu">
    <w:name w:val="TOC Heading"/>
    <w:basedOn w:val="Nadpis1"/>
    <w:next w:val="Normlny"/>
    <w:uiPriority w:val="39"/>
    <w:unhideWhenUsed/>
    <w:qFormat/>
    <w:rsid w:val="002A6CE7"/>
    <w:pPr>
      <w:keepLines/>
      <w:pageBreakBefore w:val="0"/>
      <w:spacing w:before="240" w:after="240" w:line="259" w:lineRule="auto"/>
      <w:ind w:left="357" w:hanging="357"/>
      <w:outlineLvl w:val="9"/>
    </w:pPr>
    <w:rPr>
      <w:rFonts w:ascii="Times New Roman" w:eastAsiaTheme="majorEastAsia" w:hAnsi="Times New Roman" w:cstheme="majorBidi"/>
      <w:b/>
      <w:bCs w:val="0"/>
      <w:color w:val="auto"/>
      <w:kern w:val="0"/>
      <w:sz w:val="28"/>
      <w:lang w:val="sk-SK" w:eastAsia="sk-SK"/>
    </w:rPr>
  </w:style>
  <w:style w:type="paragraph" w:styleId="Obsah1">
    <w:name w:val="toc 1"/>
    <w:basedOn w:val="Normlny"/>
    <w:next w:val="Normlny"/>
    <w:autoRedefine/>
    <w:uiPriority w:val="39"/>
    <w:unhideWhenUsed/>
    <w:rsid w:val="002F5006"/>
    <w:pPr>
      <w:tabs>
        <w:tab w:val="left" w:pos="440"/>
        <w:tab w:val="right" w:leader="dot" w:pos="9062"/>
      </w:tabs>
      <w:spacing w:before="240" w:after="100" w:line="276" w:lineRule="auto"/>
    </w:pPr>
    <w:rPr>
      <w:rFonts w:ascii="Calibri" w:eastAsia="Calibri" w:hAnsi="Calibri" w:cs="Mangal"/>
      <w:sz w:val="22"/>
      <w:szCs w:val="22"/>
      <w:lang w:eastAsia="en-US"/>
    </w:rPr>
  </w:style>
  <w:style w:type="paragraph" w:styleId="Obsah2">
    <w:name w:val="toc 2"/>
    <w:basedOn w:val="Normlny"/>
    <w:next w:val="Normlny"/>
    <w:autoRedefine/>
    <w:uiPriority w:val="39"/>
    <w:unhideWhenUsed/>
    <w:rsid w:val="00112890"/>
    <w:pPr>
      <w:tabs>
        <w:tab w:val="left" w:pos="660"/>
        <w:tab w:val="right" w:leader="dot" w:pos="9062"/>
      </w:tabs>
      <w:spacing w:after="100" w:line="276" w:lineRule="auto"/>
      <w:ind w:left="220"/>
      <w:jc w:val="both"/>
    </w:pPr>
    <w:rPr>
      <w:rFonts w:ascii="Times New Roman" w:eastAsia="Calibri" w:hAnsi="Times New Roman"/>
      <w:b/>
      <w:noProof/>
      <w:sz w:val="22"/>
      <w:szCs w:val="22"/>
      <w:lang w:eastAsia="en-US"/>
    </w:rPr>
  </w:style>
  <w:style w:type="paragraph" w:styleId="Obsah3">
    <w:name w:val="toc 3"/>
    <w:basedOn w:val="Normlny"/>
    <w:next w:val="Normlny"/>
    <w:autoRedefine/>
    <w:uiPriority w:val="39"/>
    <w:unhideWhenUsed/>
    <w:rsid w:val="00112890"/>
    <w:pPr>
      <w:tabs>
        <w:tab w:val="right" w:leader="dot" w:pos="9062"/>
      </w:tabs>
      <w:spacing w:before="240" w:after="100" w:line="276" w:lineRule="auto"/>
      <w:ind w:left="709"/>
      <w:jc w:val="both"/>
    </w:pPr>
    <w:rPr>
      <w:rFonts w:ascii="Times New Roman" w:eastAsia="Calibri" w:hAnsi="Times New Roman"/>
      <w:noProof/>
      <w:sz w:val="24"/>
      <w:szCs w:val="24"/>
      <w:lang w:eastAsia="en-US"/>
    </w:rPr>
  </w:style>
  <w:style w:type="paragraph" w:customStyle="1" w:styleId="Default">
    <w:name w:val="Default"/>
    <w:rsid w:val="002A6CE7"/>
    <w:pPr>
      <w:autoSpaceDE w:val="0"/>
      <w:autoSpaceDN w:val="0"/>
      <w:adjustRightInd w:val="0"/>
      <w:spacing w:after="0" w:line="240" w:lineRule="auto"/>
    </w:pPr>
    <w:rPr>
      <w:rFonts w:ascii="EUAlbertina" w:eastAsia="Times New Roman" w:hAnsi="EUAlbertina" w:cs="EUAlbertina"/>
      <w:color w:val="000000"/>
      <w:sz w:val="24"/>
      <w:szCs w:val="24"/>
      <w:lang w:eastAsia="sk-SK"/>
    </w:rPr>
  </w:style>
  <w:style w:type="character" w:styleId="Siln">
    <w:name w:val="Strong"/>
    <w:basedOn w:val="Predvolenpsmoodseku"/>
    <w:uiPriority w:val="22"/>
    <w:qFormat/>
    <w:rsid w:val="002A6CE7"/>
    <w:rPr>
      <w:b/>
      <w:bCs/>
    </w:rPr>
  </w:style>
  <w:style w:type="numbering" w:customStyle="1" w:styleId="tl1">
    <w:name w:val="Štýl1"/>
    <w:uiPriority w:val="99"/>
    <w:rsid w:val="002A6CE7"/>
    <w:pPr>
      <w:numPr>
        <w:numId w:val="21"/>
      </w:numPr>
    </w:pPr>
  </w:style>
  <w:style w:type="paragraph" w:customStyle="1" w:styleId="tl2">
    <w:name w:val="Štýl2"/>
    <w:basedOn w:val="Nadpis1"/>
    <w:link w:val="tl2Char"/>
    <w:qFormat/>
    <w:rsid w:val="00973979"/>
    <w:pPr>
      <w:numPr>
        <w:numId w:val="20"/>
      </w:numPr>
      <w:spacing w:after="200" w:line="276" w:lineRule="auto"/>
      <w:ind w:left="426" w:hanging="426"/>
      <w:jc w:val="both"/>
      <w:outlineLvl w:val="1"/>
    </w:pPr>
    <w:rPr>
      <w:rFonts w:ascii="Times New Roman" w:hAnsi="Times New Roman"/>
      <w:b/>
      <w:color w:val="auto"/>
      <w:sz w:val="28"/>
      <w:szCs w:val="28"/>
    </w:rPr>
  </w:style>
  <w:style w:type="paragraph" w:customStyle="1" w:styleId="tl3">
    <w:name w:val="Štýl3"/>
    <w:basedOn w:val="Nadpis2"/>
    <w:link w:val="tl3Char"/>
    <w:qFormat/>
    <w:rsid w:val="00973979"/>
    <w:pPr>
      <w:numPr>
        <w:ilvl w:val="1"/>
        <w:numId w:val="1"/>
      </w:numPr>
      <w:spacing w:line="276" w:lineRule="auto"/>
    </w:pPr>
    <w:rPr>
      <w:rFonts w:ascii="Times New Roman" w:hAnsi="Times New Roman"/>
      <w:b/>
      <w:color w:val="auto"/>
      <w:sz w:val="28"/>
      <w:szCs w:val="28"/>
      <w:lang w:val="sk-SK"/>
    </w:rPr>
  </w:style>
  <w:style w:type="character" w:customStyle="1" w:styleId="tl2Char">
    <w:name w:val="Štýl2 Char"/>
    <w:basedOn w:val="Nadpis1Char"/>
    <w:link w:val="tl2"/>
    <w:rsid w:val="00973979"/>
    <w:rPr>
      <w:rFonts w:ascii="Times New Roman" w:eastAsia="Times New Roman" w:hAnsi="Times New Roman" w:cs="Times New Roman"/>
      <w:b/>
      <w:bCs/>
      <w:color w:val="002776"/>
      <w:kern w:val="32"/>
      <w:sz w:val="28"/>
      <w:szCs w:val="28"/>
      <w:lang w:val="en-US"/>
    </w:rPr>
  </w:style>
  <w:style w:type="paragraph" w:customStyle="1" w:styleId="tl4">
    <w:name w:val="Štýl4"/>
    <w:basedOn w:val="Nadpis3"/>
    <w:link w:val="tl4Char"/>
    <w:qFormat/>
    <w:rsid w:val="00973979"/>
    <w:pPr>
      <w:spacing w:line="276" w:lineRule="auto"/>
      <w:ind w:left="0" w:firstLine="360"/>
    </w:pPr>
    <w:rPr>
      <w:rFonts w:ascii="Times New Roman" w:hAnsi="Times New Roman"/>
      <w:b/>
      <w:bCs/>
      <w:color w:val="auto"/>
      <w:szCs w:val="24"/>
      <w:lang w:val="sk-SK"/>
    </w:rPr>
  </w:style>
  <w:style w:type="character" w:customStyle="1" w:styleId="tl3Char">
    <w:name w:val="Štýl3 Char"/>
    <w:basedOn w:val="Nadpis2Char"/>
    <w:link w:val="tl3"/>
    <w:rsid w:val="00973979"/>
    <w:rPr>
      <w:rFonts w:ascii="Times New Roman" w:eastAsia="Times New Roman" w:hAnsi="Times New Roman" w:cs="Times New Roman"/>
      <w:b/>
      <w:iCs/>
      <w:color w:val="92D400"/>
      <w:kern w:val="32"/>
      <w:sz w:val="28"/>
      <w:szCs w:val="28"/>
      <w:lang w:val="en-US"/>
    </w:rPr>
  </w:style>
  <w:style w:type="paragraph" w:customStyle="1" w:styleId="tl5">
    <w:name w:val="Štýl5"/>
    <w:basedOn w:val="tl4"/>
    <w:next w:val="tl4"/>
    <w:link w:val="tl5Char"/>
    <w:qFormat/>
    <w:rsid w:val="000B37A4"/>
  </w:style>
  <w:style w:type="character" w:customStyle="1" w:styleId="tl4Char">
    <w:name w:val="Štýl4 Char"/>
    <w:basedOn w:val="Nadpis3Char"/>
    <w:link w:val="tl4"/>
    <w:rsid w:val="00973979"/>
    <w:rPr>
      <w:rFonts w:ascii="Times New Roman" w:eastAsia="Times New Roman" w:hAnsi="Times New Roman" w:cs="Times New Roman"/>
      <w:b/>
      <w:bCs/>
      <w:iCs/>
      <w:color w:val="3C8A2E"/>
      <w:kern w:val="32"/>
      <w:sz w:val="24"/>
      <w:szCs w:val="24"/>
      <w:lang w:val="en-US"/>
    </w:rPr>
  </w:style>
  <w:style w:type="character" w:customStyle="1" w:styleId="tl5Char">
    <w:name w:val="Štýl5 Char"/>
    <w:basedOn w:val="tl4Char"/>
    <w:link w:val="tl5"/>
    <w:rsid w:val="000B37A4"/>
    <w:rPr>
      <w:rFonts w:ascii="Times New Roman" w:eastAsia="Times New Roman" w:hAnsi="Times New Roman" w:cs="Times New Roman"/>
      <w:b/>
      <w:bCs/>
      <w:iCs/>
      <w:color w:val="3C8A2E"/>
      <w:kern w:val="32"/>
      <w:sz w:val="24"/>
      <w:szCs w:val="24"/>
      <w:lang w:val="en-US"/>
    </w:rPr>
  </w:style>
  <w:style w:type="table" w:styleId="Mriekatabuky">
    <w:name w:val="Table Grid"/>
    <w:basedOn w:val="Normlnatabuka"/>
    <w:uiPriority w:val="39"/>
    <w:rsid w:val="00D32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218E5"/>
    <w:pPr>
      <w:tabs>
        <w:tab w:val="center" w:pos="4536"/>
        <w:tab w:val="right" w:pos="9072"/>
      </w:tabs>
    </w:pPr>
  </w:style>
  <w:style w:type="character" w:customStyle="1" w:styleId="HlavikaChar">
    <w:name w:val="Hlavička Char"/>
    <w:basedOn w:val="Predvolenpsmoodseku"/>
    <w:link w:val="Hlavika"/>
    <w:uiPriority w:val="99"/>
    <w:rsid w:val="00D218E5"/>
    <w:rPr>
      <w:rFonts w:ascii="Arial" w:eastAsia="Times New Roman" w:hAnsi="Arial" w:cs="Times New Roman"/>
      <w:sz w:val="18"/>
      <w:szCs w:val="20"/>
      <w:lang w:eastAsia="sk-SK"/>
    </w:rPr>
  </w:style>
  <w:style w:type="paragraph" w:styleId="Pta">
    <w:name w:val="footer"/>
    <w:basedOn w:val="Normlny"/>
    <w:link w:val="PtaChar"/>
    <w:uiPriority w:val="99"/>
    <w:unhideWhenUsed/>
    <w:rsid w:val="00D218E5"/>
    <w:pPr>
      <w:tabs>
        <w:tab w:val="center" w:pos="4536"/>
        <w:tab w:val="right" w:pos="9072"/>
      </w:tabs>
    </w:pPr>
  </w:style>
  <w:style w:type="character" w:customStyle="1" w:styleId="PtaChar">
    <w:name w:val="Päta Char"/>
    <w:basedOn w:val="Predvolenpsmoodseku"/>
    <w:link w:val="Pta"/>
    <w:uiPriority w:val="99"/>
    <w:rsid w:val="00D218E5"/>
    <w:rPr>
      <w:rFonts w:ascii="Arial" w:eastAsia="Times New Roman" w:hAnsi="Arial" w:cs="Times New Roman"/>
      <w:sz w:val="18"/>
      <w:szCs w:val="20"/>
      <w:lang w:eastAsia="sk-SK"/>
    </w:rPr>
  </w:style>
  <w:style w:type="paragraph" w:styleId="Textbubliny">
    <w:name w:val="Balloon Text"/>
    <w:basedOn w:val="Normlny"/>
    <w:link w:val="TextbublinyChar"/>
    <w:uiPriority w:val="99"/>
    <w:semiHidden/>
    <w:unhideWhenUsed/>
    <w:rsid w:val="00A34E0F"/>
    <w:rPr>
      <w:rFonts w:ascii="Segoe UI" w:hAnsi="Segoe UI" w:cs="Segoe UI"/>
      <w:szCs w:val="18"/>
    </w:rPr>
  </w:style>
  <w:style w:type="character" w:customStyle="1" w:styleId="TextbublinyChar">
    <w:name w:val="Text bubliny Char"/>
    <w:basedOn w:val="Predvolenpsmoodseku"/>
    <w:link w:val="Textbubliny"/>
    <w:uiPriority w:val="99"/>
    <w:semiHidden/>
    <w:rsid w:val="00A34E0F"/>
    <w:rPr>
      <w:rFonts w:ascii="Segoe UI" w:eastAsia="Times New Roman" w:hAnsi="Segoe UI" w:cs="Segoe UI"/>
      <w:sz w:val="18"/>
      <w:szCs w:val="18"/>
      <w:lang w:eastAsia="sk-SK"/>
    </w:rPr>
  </w:style>
  <w:style w:type="paragraph" w:customStyle="1" w:styleId="Tiret1">
    <w:name w:val="Tiret 1"/>
    <w:basedOn w:val="Normlny"/>
    <w:rsid w:val="00BC2545"/>
    <w:pPr>
      <w:numPr>
        <w:numId w:val="31"/>
      </w:numPr>
      <w:spacing w:before="120" w:after="120" w:line="360" w:lineRule="auto"/>
    </w:pPr>
    <w:rPr>
      <w:rFonts w:ascii="Times New Roman" w:eastAsiaTheme="minorHAnsi" w:hAnsi="Times New Roman"/>
      <w:sz w:val="24"/>
      <w:szCs w:val="22"/>
      <w:lang w:val="en-GB" w:eastAsia="en-US"/>
    </w:rPr>
  </w:style>
  <w:style w:type="paragraph" w:styleId="Revzia">
    <w:name w:val="Revision"/>
    <w:hidden/>
    <w:uiPriority w:val="99"/>
    <w:semiHidden/>
    <w:rsid w:val="00F83363"/>
    <w:pPr>
      <w:spacing w:after="0" w:line="240" w:lineRule="auto"/>
    </w:pPr>
    <w:rPr>
      <w:rFonts w:ascii="Arial" w:eastAsia="Times New Roman" w:hAnsi="Arial" w:cs="Times New Roman"/>
      <w:sz w:val="18"/>
      <w:szCs w:val="20"/>
      <w:lang w:eastAsia="sk-SK"/>
    </w:rPr>
  </w:style>
  <w:style w:type="character" w:customStyle="1" w:styleId="UnresolvedMention">
    <w:name w:val="Unresolved Mention"/>
    <w:basedOn w:val="Predvolenpsmoodseku"/>
    <w:uiPriority w:val="99"/>
    <w:semiHidden/>
    <w:unhideWhenUsed/>
    <w:rsid w:val="00AE63F4"/>
    <w:rPr>
      <w:color w:val="605E5C"/>
      <w:shd w:val="clear" w:color="auto" w:fill="E1DFDD"/>
    </w:rPr>
  </w:style>
  <w:style w:type="character" w:styleId="Odkaznakomentr">
    <w:name w:val="annotation reference"/>
    <w:basedOn w:val="Predvolenpsmoodseku"/>
    <w:uiPriority w:val="99"/>
    <w:semiHidden/>
    <w:unhideWhenUsed/>
    <w:rsid w:val="003D2CD1"/>
    <w:rPr>
      <w:sz w:val="16"/>
      <w:szCs w:val="16"/>
    </w:rPr>
  </w:style>
  <w:style w:type="paragraph" w:styleId="Textkomentra">
    <w:name w:val="annotation text"/>
    <w:basedOn w:val="Normlny"/>
    <w:link w:val="TextkomentraChar"/>
    <w:uiPriority w:val="99"/>
    <w:semiHidden/>
    <w:unhideWhenUsed/>
    <w:rsid w:val="003D2CD1"/>
    <w:rPr>
      <w:sz w:val="20"/>
    </w:rPr>
  </w:style>
  <w:style w:type="character" w:customStyle="1" w:styleId="TextkomentraChar">
    <w:name w:val="Text komentára Char"/>
    <w:basedOn w:val="Predvolenpsmoodseku"/>
    <w:link w:val="Textkomentra"/>
    <w:uiPriority w:val="99"/>
    <w:semiHidden/>
    <w:rsid w:val="003D2CD1"/>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D2CD1"/>
    <w:rPr>
      <w:b/>
      <w:bCs/>
    </w:rPr>
  </w:style>
  <w:style w:type="character" w:customStyle="1" w:styleId="PredmetkomentraChar">
    <w:name w:val="Predmet komentára Char"/>
    <w:basedOn w:val="TextkomentraChar"/>
    <w:link w:val="Predmetkomentra"/>
    <w:uiPriority w:val="99"/>
    <w:semiHidden/>
    <w:rsid w:val="003D2CD1"/>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840627">
      <w:bodyDiv w:val="1"/>
      <w:marLeft w:val="0"/>
      <w:marRight w:val="0"/>
      <w:marTop w:val="0"/>
      <w:marBottom w:val="0"/>
      <w:divBdr>
        <w:top w:val="none" w:sz="0" w:space="0" w:color="auto"/>
        <w:left w:val="none" w:sz="0" w:space="0" w:color="auto"/>
        <w:bottom w:val="none" w:sz="0" w:space="0" w:color="auto"/>
        <w:right w:val="none" w:sz="0" w:space="0" w:color="auto"/>
      </w:divBdr>
    </w:div>
    <w:div w:id="1045064508">
      <w:bodyDiv w:val="1"/>
      <w:marLeft w:val="0"/>
      <w:marRight w:val="0"/>
      <w:marTop w:val="0"/>
      <w:marBottom w:val="0"/>
      <w:divBdr>
        <w:top w:val="none" w:sz="0" w:space="0" w:color="auto"/>
        <w:left w:val="none" w:sz="0" w:space="0" w:color="auto"/>
        <w:bottom w:val="none" w:sz="0" w:space="0" w:color="auto"/>
        <w:right w:val="none" w:sz="0" w:space="0" w:color="auto"/>
      </w:divBdr>
    </w:div>
    <w:div w:id="186786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rupcia@minv.sk"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infoirq@min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jprotikorupcii.vlada.gov.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ns.olaf.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SK/TXT/PDF/?uri=CELEX:32017L1371" TargetMode="External"/><Relationship Id="rId2" Type="http://schemas.openxmlformats.org/officeDocument/2006/relationships/hyperlink" Target="https://www.olaf.vlada.gov.sk/zakladne-definicie-a-pojmy/?csrt=5839612821611534922" TargetMode="External"/><Relationship Id="rId1" Type="http://schemas.openxmlformats.org/officeDocument/2006/relationships/hyperlink" Target="https://anti-fraud.ec.europa.eu/olaf-and-you/report-fraud_sk" TargetMode="External"/><Relationship Id="rId5" Type="http://schemas.openxmlformats.org/officeDocument/2006/relationships/hyperlink" Target="https://eur-lex.europa.eu/legal-content/SK/TXT/PDF/?uri=CELEX:41995A1127(03)" TargetMode="External"/><Relationship Id="rId4" Type="http://schemas.openxmlformats.org/officeDocument/2006/relationships/hyperlink" Target="https://ec.europa.eu/regional_policy/sources/guidance/guidance_fraud_risk_assessment_sk.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6B7C7-F9F2-4BD9-A163-28435EC75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B575ED-53A9-49E4-963D-DE4737D350D2}">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7d7cdc55-6ebe-4ecb-a43c-ecb324da520f"/>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C973A6A-8C10-4EC3-A272-6C3234164AA6}">
  <ds:schemaRefs>
    <ds:schemaRef ds:uri="http://schemas.microsoft.com/sharepoint/v3/contenttype/forms"/>
  </ds:schemaRefs>
</ds:datastoreItem>
</file>

<file path=customXml/itemProps4.xml><?xml version="1.0" encoding="utf-8"?>
<ds:datastoreItem xmlns:ds="http://schemas.openxmlformats.org/officeDocument/2006/customXml" ds:itemID="{7AA61AC7-17D7-47B0-81A9-2F9CF0344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1748</TotalTime>
  <Pages>20</Pages>
  <Words>6880</Words>
  <Characters>39220</Characters>
  <Application>Microsoft Office Word</Application>
  <DocSecurity>0</DocSecurity>
  <Lines>326</Lines>
  <Paragraphs>92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Šimon Šesták</dc:creator>
  <cp:keywords/>
  <dc:description/>
  <cp:lastModifiedBy>Mária Hudeková</cp:lastModifiedBy>
  <cp:revision>14</cp:revision>
  <cp:lastPrinted>2023-10-04T08:08:00Z</cp:lastPrinted>
  <dcterms:created xsi:type="dcterms:W3CDTF">2021-12-22T09:07:00Z</dcterms:created>
  <dcterms:modified xsi:type="dcterms:W3CDTF">2023-10-05T06:30:00Z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